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101EE5E0" w:rsidR="000830E3" w:rsidRDefault="00985696" w:rsidP="00985696">
      <w:pPr>
        <w:pStyle w:val="Pagedecouverture"/>
        <w:rPr>
          <w:noProof/>
        </w:rPr>
      </w:pPr>
      <w:bookmarkStart w:id="0" w:name="LW_BM_COVERPAGE"/>
      <w:r>
        <w:rPr>
          <w:noProof/>
        </w:rPr>
        <w:pict w14:anchorId="4C0CD3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9D61D89-08E1-45EF-A09B-35BE032CCE8D" style="width:455.25pt;height:548.25pt">
            <v:imagedata r:id="rId15" o:title=""/>
          </v:shape>
        </w:pict>
      </w:r>
    </w:p>
    <w:bookmarkEnd w:id="0"/>
    <w:p w14:paraId="2BAF3ADB" w14:textId="77777777" w:rsidR="000830E3" w:rsidRDefault="000830E3" w:rsidP="000830E3">
      <w:pPr>
        <w:rPr>
          <w:noProof/>
        </w:rPr>
        <w:sectPr w:rsidR="000830E3" w:rsidSect="00985696">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075B1187" w14:textId="77777777" w:rsidR="00933ED2" w:rsidRPr="00933ED2" w:rsidRDefault="00933ED2" w:rsidP="00933ED2">
      <w:pPr>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1" w:name="_GoBack"/>
      <w:bookmarkEnd w:id="1"/>
      <w:r w:rsidRPr="00933ED2">
        <w:rPr>
          <w:b/>
          <w:smallCaps/>
          <w:noProof/>
          <w:szCs w:val="24"/>
          <w:u w:val="single"/>
          <w:lang w:eastAsia="en-GB"/>
        </w:rPr>
        <w:lastRenderedPageBreak/>
        <w:t>Abstract</w:t>
      </w:r>
    </w:p>
    <w:p w14:paraId="4BBC1A52" w14:textId="2B5A3FB5" w:rsidR="00933ED2" w:rsidRPr="00933ED2" w:rsidRDefault="00933ED2" w:rsidP="00933ED2">
      <w:pPr>
        <w:pBdr>
          <w:top w:val="single" w:sz="4" w:space="1" w:color="auto"/>
          <w:left w:val="single" w:sz="4" w:space="4" w:color="auto"/>
          <w:bottom w:val="single" w:sz="4" w:space="17" w:color="auto"/>
          <w:right w:val="single" w:sz="4" w:space="4" w:color="auto"/>
        </w:pBdr>
        <w:rPr>
          <w:noProof/>
          <w:lang w:eastAsia="en-GB"/>
        </w:rPr>
      </w:pPr>
      <w:r w:rsidRPr="00933ED2">
        <w:rPr>
          <w:noProof/>
          <w:lang w:eastAsia="en-GB"/>
        </w:rPr>
        <w:t>In Spain, steps were taken to take forward the process of adapting the appointment procedure for the Council for the Judiciary’s judges-members, with the adoption of an opinion of the Venice Commission on two alternative models</w:t>
      </w:r>
      <w:r w:rsidR="003518DC">
        <w:rPr>
          <w:noProof/>
          <w:lang w:eastAsia="en-GB"/>
        </w:rPr>
        <w:t xml:space="preserve">, </w:t>
      </w:r>
      <w:r w:rsidR="004261E5">
        <w:rPr>
          <w:noProof/>
          <w:lang w:eastAsia="en-GB"/>
        </w:rPr>
        <w:t>although</w:t>
      </w:r>
      <w:r w:rsidR="003518DC" w:rsidRPr="003518DC">
        <w:rPr>
          <w:noProof/>
          <w:lang w:eastAsia="en-GB"/>
        </w:rPr>
        <w:t xml:space="preserve"> no consensus has been found </w:t>
      </w:r>
      <w:r w:rsidR="00AF1855">
        <w:rPr>
          <w:noProof/>
          <w:lang w:eastAsia="en-GB"/>
        </w:rPr>
        <w:t>on</w:t>
      </w:r>
      <w:r w:rsidR="003518DC" w:rsidRPr="003518DC">
        <w:rPr>
          <w:noProof/>
          <w:lang w:eastAsia="en-GB"/>
        </w:rPr>
        <w:t xml:space="preserve"> finalis</w:t>
      </w:r>
      <w:r w:rsidR="00AF1855">
        <w:rPr>
          <w:noProof/>
          <w:lang w:eastAsia="en-GB"/>
        </w:rPr>
        <w:t>ing</w:t>
      </w:r>
      <w:r w:rsidR="003518DC" w:rsidRPr="003518DC">
        <w:rPr>
          <w:noProof/>
          <w:lang w:eastAsia="en-GB"/>
        </w:rPr>
        <w:t xml:space="preserve"> the process</w:t>
      </w:r>
      <w:r w:rsidRPr="00933ED2">
        <w:rPr>
          <w:noProof/>
          <w:lang w:eastAsia="en-GB"/>
        </w:rPr>
        <w:t>. The Council for the Judiciary continues to fulfil its functions in the justice system following its renewal, including by proceeding with appointments to top judicial positions. A draft law to strengthen the statute of the Prosecutor-General is under discussion in Parliament. Efforts are being made to increase the resources of the justice system</w:t>
      </w:r>
      <w:r w:rsidR="00913504">
        <w:rPr>
          <w:noProof/>
          <w:lang w:eastAsia="en-GB"/>
        </w:rPr>
        <w:t xml:space="preserve">, </w:t>
      </w:r>
      <w:r w:rsidR="00913504" w:rsidRPr="008B677A">
        <w:rPr>
          <w:noProof/>
          <w:lang w:eastAsia="en-GB"/>
        </w:rPr>
        <w:t xml:space="preserve">including the creation of </w:t>
      </w:r>
      <w:r w:rsidR="00447C4E">
        <w:rPr>
          <w:noProof/>
          <w:lang w:eastAsia="en-GB"/>
        </w:rPr>
        <w:t>700</w:t>
      </w:r>
      <w:r w:rsidR="00913504" w:rsidRPr="008B677A">
        <w:rPr>
          <w:noProof/>
          <w:lang w:eastAsia="en-GB"/>
        </w:rPr>
        <w:t xml:space="preserve"> positions for judges and</w:t>
      </w:r>
      <w:r w:rsidR="00FE24C3">
        <w:rPr>
          <w:noProof/>
          <w:lang w:eastAsia="en-GB"/>
        </w:rPr>
        <w:t xml:space="preserve"> prosecutors</w:t>
      </w:r>
      <w:r w:rsidR="00FF0420">
        <w:rPr>
          <w:noProof/>
          <w:lang w:eastAsia="en-GB"/>
        </w:rPr>
        <w:t xml:space="preserve"> and the launch of </w:t>
      </w:r>
      <w:r w:rsidR="00516B01">
        <w:rPr>
          <w:noProof/>
          <w:lang w:eastAsia="en-GB"/>
        </w:rPr>
        <w:t>the</w:t>
      </w:r>
      <w:r w:rsidR="00FF0420">
        <w:rPr>
          <w:noProof/>
          <w:lang w:eastAsia="en-GB"/>
        </w:rPr>
        <w:t xml:space="preserve"> recruitment process</w:t>
      </w:r>
      <w:r w:rsidRPr="00933ED2">
        <w:rPr>
          <w:noProof/>
          <w:lang w:eastAsia="en-GB"/>
        </w:rPr>
        <w:t xml:space="preserve">. Work to </w:t>
      </w:r>
      <w:r w:rsidR="00946282">
        <w:rPr>
          <w:noProof/>
          <w:lang w:eastAsia="en-GB"/>
        </w:rPr>
        <w:t xml:space="preserve">further </w:t>
      </w:r>
      <w:r w:rsidR="003446F6">
        <w:rPr>
          <w:noProof/>
          <w:lang w:eastAsia="en-GB"/>
        </w:rPr>
        <w:t>improve</w:t>
      </w:r>
      <w:r w:rsidR="003446F6" w:rsidRPr="00933ED2">
        <w:rPr>
          <w:noProof/>
          <w:lang w:eastAsia="en-GB"/>
        </w:rPr>
        <w:t xml:space="preserve"> </w:t>
      </w:r>
      <w:r w:rsidRPr="00933ED2">
        <w:rPr>
          <w:noProof/>
          <w:lang w:eastAsia="en-GB"/>
        </w:rPr>
        <w:t xml:space="preserve">the </w:t>
      </w:r>
      <w:r w:rsidR="00A1624B">
        <w:rPr>
          <w:noProof/>
          <w:lang w:eastAsia="en-GB"/>
        </w:rPr>
        <w:t xml:space="preserve">already </w:t>
      </w:r>
      <w:r w:rsidR="00946282">
        <w:rPr>
          <w:noProof/>
          <w:lang w:eastAsia="en-GB"/>
        </w:rPr>
        <w:t xml:space="preserve">high level of </w:t>
      </w:r>
      <w:r w:rsidRPr="00933ED2">
        <w:rPr>
          <w:noProof/>
          <w:lang w:eastAsia="en-GB"/>
        </w:rPr>
        <w:t xml:space="preserve">digitalisation of justice continued, while the limited interoperability between national and regional case management systems remains a challenge. The implementation of the new law on the efficiency of justice is already showing positive results, though there are challenges linked to resources and consistency of implementation across regions. The duration of court proceedings remains a challenge. </w:t>
      </w:r>
    </w:p>
    <w:p w14:paraId="0A4A9110" w14:textId="1DC3634E" w:rsidR="00933ED2" w:rsidRPr="00933ED2" w:rsidRDefault="00933ED2" w:rsidP="00933ED2">
      <w:pPr>
        <w:pBdr>
          <w:top w:val="single" w:sz="4" w:space="1" w:color="auto"/>
          <w:left w:val="single" w:sz="4" w:space="4" w:color="auto"/>
          <w:bottom w:val="single" w:sz="4" w:space="17" w:color="auto"/>
          <w:right w:val="single" w:sz="4" w:space="4" w:color="auto"/>
        </w:pBdr>
        <w:rPr>
          <w:noProof/>
          <w:szCs w:val="22"/>
          <w:lang w:eastAsia="en-GB"/>
        </w:rPr>
      </w:pPr>
      <w:r w:rsidRPr="00933ED2">
        <w:rPr>
          <w:noProof/>
          <w:szCs w:val="22"/>
          <w:lang w:eastAsia="en-GB"/>
        </w:rPr>
        <w:t xml:space="preserve">The Government has adopted a State Anti-Corruption Plan, as well as several key draft laws and strategic documents. To address challenges related to the length of investigations and prosecutions of high-level corruption cases, the Government has made reform and staffing efforts. </w:t>
      </w:r>
      <w:r w:rsidR="00162A66">
        <w:rPr>
          <w:noProof/>
          <w:szCs w:val="22"/>
          <w:lang w:eastAsia="en-GB"/>
        </w:rPr>
        <w:t>Initiatives</w:t>
      </w:r>
      <w:r w:rsidR="00787B8F">
        <w:rPr>
          <w:noProof/>
          <w:szCs w:val="22"/>
          <w:lang w:eastAsia="en-GB"/>
        </w:rPr>
        <w:t xml:space="preserve"> </w:t>
      </w:r>
      <w:r w:rsidRPr="00933ED2">
        <w:rPr>
          <w:noProof/>
          <w:szCs w:val="22"/>
          <w:lang w:eastAsia="en-GB"/>
        </w:rPr>
        <w:t xml:space="preserve">continue to address gaps in the legislative framework and in enforcement of foreign bribery. A draft law has been prepared with the view of reinforcing the Council for Transparency and Good Governance. </w:t>
      </w:r>
      <w:r w:rsidRPr="00933ED2">
        <w:rPr>
          <w:rFonts w:eastAsia="Calibri"/>
          <w:noProof/>
          <w:szCs w:val="22"/>
          <w:lang w:val="en-US" w:eastAsia="en-US"/>
        </w:rPr>
        <w:t>The draft Open Administration Law</w:t>
      </w:r>
      <w:r w:rsidRPr="00933ED2">
        <w:rPr>
          <w:rFonts w:eastAsia="Calibri"/>
          <w:b/>
          <w:bCs/>
          <w:noProof/>
          <w:szCs w:val="22"/>
          <w:lang w:val="en-US" w:eastAsia="en-US"/>
        </w:rPr>
        <w:t xml:space="preserve"> </w:t>
      </w:r>
      <w:r w:rsidRPr="00933ED2">
        <w:rPr>
          <w:noProof/>
          <w:szCs w:val="22"/>
          <w:lang w:eastAsia="en-GB"/>
        </w:rPr>
        <w:t xml:space="preserve">seeks to establish a comprehensive regime for the prevention of conflicts of interest in the public sector. With the </w:t>
      </w:r>
      <w:r w:rsidR="00542B78">
        <w:rPr>
          <w:noProof/>
          <w:szCs w:val="22"/>
          <w:lang w:eastAsia="en-GB"/>
        </w:rPr>
        <w:t xml:space="preserve">preliminary </w:t>
      </w:r>
      <w:r w:rsidRPr="00933ED2">
        <w:rPr>
          <w:noProof/>
          <w:szCs w:val="22"/>
          <w:lang w:eastAsia="en-GB"/>
        </w:rPr>
        <w:t>draft Organic Law on Public Integrity pending adoption, the rules on conflicts of interest and asset declarations of persons in top executive functions have not yet been strengthened. The draft Law on the Transparency and Integrity of the Activities of Interest Groups has not yet been adopted by Parliament. Shortcomings remain regarding compliance with transparency obligations related to political party financing. The Independent Authority for Whistleblower Protection started operating with some budgetary and staffing constraints. Public procurement remains a</w:t>
      </w:r>
      <w:r w:rsidR="001345C3">
        <w:rPr>
          <w:noProof/>
          <w:szCs w:val="22"/>
          <w:lang w:eastAsia="en-GB"/>
        </w:rPr>
        <w:t xml:space="preserve">n </w:t>
      </w:r>
      <w:r w:rsidRPr="00933ED2">
        <w:rPr>
          <w:noProof/>
          <w:szCs w:val="22"/>
          <w:lang w:eastAsia="en-GB"/>
        </w:rPr>
        <w:t xml:space="preserve">area </w:t>
      </w:r>
      <w:r w:rsidR="001345C3">
        <w:rPr>
          <w:noProof/>
          <w:szCs w:val="22"/>
          <w:lang w:eastAsia="en-GB"/>
        </w:rPr>
        <w:t xml:space="preserve">vulnerable to </w:t>
      </w:r>
      <w:r w:rsidRPr="00933ED2">
        <w:rPr>
          <w:noProof/>
          <w:szCs w:val="22"/>
          <w:lang w:eastAsia="en-GB"/>
        </w:rPr>
        <w:t>corruption</w:t>
      </w:r>
      <w:r w:rsidR="009C73BA">
        <w:rPr>
          <w:noProof/>
          <w:szCs w:val="22"/>
          <w:lang w:eastAsia="en-GB"/>
        </w:rPr>
        <w:t xml:space="preserve"> risks</w:t>
      </w:r>
      <w:r w:rsidRPr="00933ED2">
        <w:rPr>
          <w:noProof/>
          <w:szCs w:val="22"/>
          <w:lang w:eastAsia="en-GB"/>
        </w:rPr>
        <w:t xml:space="preserve">. </w:t>
      </w:r>
    </w:p>
    <w:p w14:paraId="69ABBB0C" w14:textId="10DFE535" w:rsidR="00933ED2" w:rsidRPr="00933ED2" w:rsidRDefault="00933ED2" w:rsidP="00933ED2">
      <w:pPr>
        <w:pBdr>
          <w:top w:val="single" w:sz="4" w:space="1" w:color="auto"/>
          <w:left w:val="single" w:sz="4" w:space="4" w:color="auto"/>
          <w:bottom w:val="single" w:sz="4" w:space="17" w:color="auto"/>
          <w:right w:val="single" w:sz="4" w:space="4" w:color="auto"/>
        </w:pBdr>
        <w:rPr>
          <w:noProof/>
          <w:szCs w:val="22"/>
          <w:lang w:eastAsia="en-GB"/>
        </w:rPr>
      </w:pPr>
      <w:r w:rsidRPr="00933ED2">
        <w:rPr>
          <w:noProof/>
          <w:szCs w:val="22"/>
          <w:lang w:val="en-US" w:eastAsia="en-GB"/>
        </w:rPr>
        <w:t xml:space="preserve">Reforms continue to strengthen the regulatory framework, including enhanced resources for the national regulator to carry out its supervisory functions effectively. </w:t>
      </w:r>
      <w:r w:rsidRPr="00933ED2">
        <w:rPr>
          <w:noProof/>
          <w:szCs w:val="22"/>
          <w:lang w:eastAsia="en-GB"/>
        </w:rPr>
        <w:t xml:space="preserve">Risks related to editorial independence and political interference in </w:t>
      </w:r>
      <w:r w:rsidR="00C25942">
        <w:rPr>
          <w:noProof/>
          <w:szCs w:val="22"/>
          <w:lang w:eastAsia="en-GB"/>
        </w:rPr>
        <w:t>public</w:t>
      </w:r>
      <w:r w:rsidR="00C545A6">
        <w:rPr>
          <w:noProof/>
          <w:szCs w:val="22"/>
          <w:lang w:eastAsia="en-GB"/>
        </w:rPr>
        <w:t xml:space="preserve">ly </w:t>
      </w:r>
      <w:r w:rsidRPr="00933ED2">
        <w:rPr>
          <w:noProof/>
          <w:szCs w:val="22"/>
          <w:lang w:eastAsia="en-GB"/>
        </w:rPr>
        <w:t xml:space="preserve">owned radio and television </w:t>
      </w:r>
      <w:r w:rsidR="008B48C4">
        <w:rPr>
          <w:noProof/>
          <w:szCs w:val="22"/>
          <w:lang w:eastAsia="en-GB"/>
        </w:rPr>
        <w:t>broadcasters</w:t>
      </w:r>
      <w:r w:rsidRPr="00933ED2">
        <w:rPr>
          <w:noProof/>
          <w:szCs w:val="22"/>
          <w:lang w:eastAsia="en-GB"/>
        </w:rPr>
        <w:t xml:space="preserve"> </w:t>
      </w:r>
      <w:r w:rsidR="005D26DF">
        <w:rPr>
          <w:noProof/>
          <w:szCs w:val="22"/>
          <w:lang w:eastAsia="en-GB"/>
        </w:rPr>
        <w:t>are</w:t>
      </w:r>
      <w:r w:rsidR="005D26DF" w:rsidRPr="00933ED2">
        <w:rPr>
          <w:noProof/>
          <w:szCs w:val="22"/>
          <w:lang w:eastAsia="en-GB"/>
        </w:rPr>
        <w:t xml:space="preserve"> </w:t>
      </w:r>
      <w:r w:rsidRPr="00933ED2">
        <w:rPr>
          <w:noProof/>
          <w:szCs w:val="22"/>
          <w:lang w:eastAsia="en-GB"/>
        </w:rPr>
        <w:t>flagged by stakeholders.</w:t>
      </w:r>
      <w:r w:rsidRPr="00933ED2">
        <w:rPr>
          <w:rFonts w:eastAsiaTheme="minorHAnsi" w:cstheme="minorBidi"/>
          <w:noProof/>
          <w:szCs w:val="22"/>
          <w:lang w:val="en-US" w:eastAsia="en-US"/>
        </w:rPr>
        <w:t xml:space="preserve"> </w:t>
      </w:r>
      <w:r w:rsidRPr="00933ED2">
        <w:rPr>
          <w:noProof/>
          <w:szCs w:val="22"/>
          <w:lang w:eastAsia="en-GB"/>
        </w:rPr>
        <w:t>As the adoption of new legislation is still pending, concerns regarding ownership transparency of media other than audiovisual media services, video sharing platforms and influencers remain.</w:t>
      </w:r>
      <w:r w:rsidRPr="00933ED2">
        <w:rPr>
          <w:rFonts w:eastAsiaTheme="minorHAnsi" w:cstheme="minorBidi"/>
          <w:noProof/>
          <w:szCs w:val="22"/>
          <w:lang w:val="en-US" w:eastAsia="en-US"/>
        </w:rPr>
        <w:t xml:space="preserve"> </w:t>
      </w:r>
      <w:r w:rsidRPr="00933ED2">
        <w:rPr>
          <w:noProof/>
          <w:szCs w:val="22"/>
          <w:lang w:eastAsia="en-GB"/>
        </w:rPr>
        <w:t>The reform of the legal framework for state advertising is advancing, although challenges remain.</w:t>
      </w:r>
      <w:r w:rsidRPr="00933ED2">
        <w:rPr>
          <w:rFonts w:eastAsiaTheme="minorHAnsi" w:cstheme="minorBidi"/>
          <w:noProof/>
          <w:szCs w:val="22"/>
          <w:lang w:val="en-US" w:eastAsia="en-US"/>
        </w:rPr>
        <w:t xml:space="preserve"> The Government’s approval of the draft Laws on Classified Information and Open Administration aims to strengthen the framework for access to information. </w:t>
      </w:r>
      <w:r w:rsidRPr="00933ED2">
        <w:rPr>
          <w:noProof/>
          <w:szCs w:val="22"/>
          <w:lang w:val="en-US" w:eastAsia="en-GB"/>
        </w:rPr>
        <w:t>Work on related legislative proposals continues, while challenges regarding working conditions and safety of journalists persist, including online.</w:t>
      </w:r>
    </w:p>
    <w:p w14:paraId="7C33A9F3" w14:textId="413E8B6B" w:rsidR="00933ED2" w:rsidRPr="00933ED2" w:rsidRDefault="00772AED" w:rsidP="00933ED2">
      <w:pPr>
        <w:pBdr>
          <w:top w:val="single" w:sz="4" w:space="1" w:color="auto"/>
          <w:left w:val="single" w:sz="4" w:space="4" w:color="auto"/>
          <w:bottom w:val="single" w:sz="4" w:space="17" w:color="auto"/>
          <w:right w:val="single" w:sz="4" w:space="4" w:color="auto"/>
        </w:pBdr>
        <w:rPr>
          <w:noProof/>
          <w:lang w:eastAsia="en-GB"/>
        </w:rPr>
      </w:pPr>
      <w:r>
        <w:rPr>
          <w:noProof/>
          <w:lang w:eastAsia="en-GB"/>
        </w:rPr>
        <w:t>On 16 July 2026, t</w:t>
      </w:r>
      <w:r w:rsidRPr="00772AED">
        <w:rPr>
          <w:noProof/>
          <w:lang w:eastAsia="en-GB"/>
        </w:rPr>
        <w:t>he Court of Justice has delivered two judgments following preliminary ruling requests on the Amnesty Law</w:t>
      </w:r>
      <w:r w:rsidR="161C7781" w:rsidRPr="1B2AAB5C">
        <w:rPr>
          <w:noProof/>
          <w:lang w:eastAsia="en-GB"/>
        </w:rPr>
        <w:t xml:space="preserve"> and</w:t>
      </w:r>
      <w:r w:rsidR="161C7781" w:rsidRPr="005A61AF">
        <w:rPr>
          <w:noProof/>
          <w:lang w:eastAsia="fr-FR"/>
        </w:rPr>
        <w:t xml:space="preserve"> </w:t>
      </w:r>
      <w:r w:rsidR="161C7781" w:rsidRPr="00D01DDD">
        <w:rPr>
          <w:noProof/>
          <w:lang w:eastAsia="fr-FR"/>
        </w:rPr>
        <w:t>o</w:t>
      </w:r>
      <w:r w:rsidR="161C7781" w:rsidRPr="1B2AAB5C">
        <w:rPr>
          <w:noProof/>
          <w:lang w:eastAsia="fr-FR"/>
        </w:rPr>
        <w:t>t</w:t>
      </w:r>
      <w:r w:rsidR="161C7781" w:rsidRPr="00D01DDD">
        <w:rPr>
          <w:noProof/>
          <w:lang w:eastAsia="fr-FR"/>
        </w:rPr>
        <w:t>her requests for a preliminary ruling are pending before the Court of Justice</w:t>
      </w:r>
      <w:r w:rsidR="00933ED2" w:rsidRPr="00533CFC">
        <w:rPr>
          <w:noProof/>
          <w:lang w:eastAsia="en-GB"/>
        </w:rPr>
        <w:t>.</w:t>
      </w:r>
      <w:r w:rsidR="00933ED2" w:rsidRPr="00933ED2">
        <w:rPr>
          <w:noProof/>
          <w:lang w:eastAsia="en-GB"/>
        </w:rPr>
        <w:t xml:space="preserve"> Steps have been taken in promoting public participation in policymaking and a culture that fosters rule of law. The two draft laws aimed at respectively amending the Code of Criminal Procedure, including as regards popular action in criminal investigations, and reforming the Citizen Security Law, are still pending in Parliament.</w:t>
      </w:r>
      <w:r w:rsidR="00933ED2" w:rsidRPr="1B2AAB5C">
        <w:rPr>
          <w:rFonts w:eastAsiaTheme="minorEastAsia" w:cstheme="minorBidi"/>
          <w:noProof/>
          <w:lang w:val="en-US" w:eastAsia="en-US"/>
        </w:rPr>
        <w:t xml:space="preserve"> </w:t>
      </w:r>
      <w:r w:rsidR="00933ED2" w:rsidRPr="00933ED2">
        <w:rPr>
          <w:noProof/>
          <w:lang w:eastAsia="en-GB"/>
        </w:rPr>
        <w:br w:type="page"/>
      </w:r>
    </w:p>
    <w:p w14:paraId="78BF871B" w14:textId="30C4C894" w:rsidR="00C31E7F" w:rsidRPr="00D16464" w:rsidRDefault="00C31E7F" w:rsidP="00C31E7F">
      <w:pPr>
        <w:pageBreakBefore/>
        <w:pBdr>
          <w:top w:val="single" w:sz="4" w:space="1" w:color="auto"/>
          <w:left w:val="single" w:sz="4" w:space="4" w:color="auto"/>
          <w:bottom w:val="single" w:sz="4" w:space="17" w:color="auto"/>
          <w:right w:val="single" w:sz="4" w:space="4" w:color="auto"/>
        </w:pBdr>
        <w:rPr>
          <w:b/>
          <w:smallCaps/>
          <w:noProof/>
          <w:szCs w:val="24"/>
          <w:u w:val="single"/>
          <w:lang w:val="en-IE" w:eastAsia="en-GB"/>
        </w:rPr>
      </w:pPr>
      <w:bookmarkStart w:id="2" w:name="_Hlk202256986"/>
      <w:r>
        <w:rPr>
          <w:b/>
          <w:smallCaps/>
          <w:noProof/>
          <w:szCs w:val="24"/>
          <w:u w:val="single"/>
          <w:lang w:val="en-IE" w:eastAsia="en-GB"/>
        </w:rPr>
        <w:t>Recommendations</w:t>
      </w:r>
    </w:p>
    <w:p w14:paraId="66AEFD02" w14:textId="77777777" w:rsidR="00C31E7F" w:rsidRPr="00D16464" w:rsidRDefault="00C31E7F" w:rsidP="00C31E7F">
      <w:pPr>
        <w:pBdr>
          <w:top w:val="single" w:sz="4" w:space="1" w:color="auto"/>
          <w:left w:val="single" w:sz="4" w:space="4" w:color="auto"/>
          <w:bottom w:val="single" w:sz="4" w:space="17" w:color="auto"/>
          <w:right w:val="single" w:sz="4" w:space="4" w:color="auto"/>
        </w:pBdr>
        <w:spacing w:after="0"/>
        <w:contextualSpacing/>
        <w:rPr>
          <w:noProof/>
          <w:lang w:val="en-IE" w:eastAsia="en-GB"/>
        </w:rPr>
      </w:pPr>
      <w:r>
        <w:rPr>
          <w:noProof/>
          <w:lang w:val="en-IE" w:eastAsia="en-GB"/>
        </w:rPr>
        <w:t xml:space="preserve">Overall, based on the recommendations in the 2025 Rule of Law Report, considering other developments that took place in the period of reference, and in addition to recalling the relevant commitments made under the Recovery and Resilience Plan and the country-specific recommendation under the European Semester on the efficiency of the justice system, the Commission concludes the following: </w:t>
      </w:r>
    </w:p>
    <w:p w14:paraId="622D2CA3" w14:textId="77777777" w:rsidR="00C31E7F" w:rsidRPr="00D16464" w:rsidRDefault="00C31E7F" w:rsidP="00C31E7F">
      <w:pPr>
        <w:pBdr>
          <w:top w:val="single" w:sz="4" w:space="1" w:color="auto"/>
          <w:left w:val="single" w:sz="4" w:space="4" w:color="auto"/>
          <w:bottom w:val="single" w:sz="4" w:space="17" w:color="auto"/>
          <w:right w:val="single" w:sz="4" w:space="4" w:color="auto"/>
        </w:pBdr>
        <w:spacing w:after="0"/>
        <w:contextualSpacing/>
        <w:rPr>
          <w:noProof/>
          <w:lang w:val="en-IE" w:eastAsia="en-GB"/>
        </w:rPr>
      </w:pPr>
    </w:p>
    <w:p w14:paraId="7A164D2A" w14:textId="77777777" w:rsidR="00C31E7F" w:rsidRPr="00D16464" w:rsidRDefault="00C31E7F" w:rsidP="00C31E7F">
      <w:pPr>
        <w:numPr>
          <w:ilvl w:val="0"/>
          <w:numId w:val="25"/>
        </w:numPr>
        <w:pBdr>
          <w:top w:val="single" w:sz="4" w:space="1" w:color="auto"/>
          <w:left w:val="single" w:sz="4" w:space="4" w:color="auto"/>
          <w:bottom w:val="single" w:sz="4" w:space="17" w:color="auto"/>
          <w:right w:val="single" w:sz="4" w:space="4" w:color="auto"/>
        </w:pBdr>
        <w:spacing w:after="200"/>
        <w:contextualSpacing/>
        <w:rPr>
          <w:b/>
          <w:bCs/>
          <w:noProof/>
          <w:szCs w:val="24"/>
          <w:lang w:val="en-IE" w:eastAsia="en-GB"/>
        </w:rPr>
      </w:pPr>
      <w:r>
        <w:rPr>
          <w:noProof/>
          <w:szCs w:val="24"/>
          <w:lang w:val="en-IE" w:eastAsia="en-GB"/>
        </w:rPr>
        <w:t>Some further progress</w:t>
      </w:r>
      <w:r>
        <w:rPr>
          <w:b/>
          <w:bCs/>
          <w:noProof/>
          <w:szCs w:val="24"/>
          <w:lang w:val="en-IE" w:eastAsia="en-GB"/>
        </w:rPr>
        <w:t xml:space="preserve"> </w:t>
      </w:r>
      <w:r>
        <w:rPr>
          <w:noProof/>
          <w:szCs w:val="24"/>
          <w:lang w:val="en-IE" w:eastAsia="en-GB"/>
        </w:rPr>
        <w:t xml:space="preserve">was made on adapting the procedure for appointing the Council for the Judiciary’s judges-members, as the Council obtained guidance from the Venice Commission, but no consensus has been found on finalising the process. Since a reform remains to be adopted, it is recommended to Spain to </w:t>
      </w:r>
      <w:r>
        <w:rPr>
          <w:i/>
          <w:noProof/>
          <w:szCs w:val="24"/>
          <w:lang w:val="en-IE" w:eastAsia="en-GB"/>
        </w:rPr>
        <w:t>take forward the process of adapting the appointment procedure of the Council for the Judiciary’s judges-members, taking into account European standards on Councils for the Judiciary,</w:t>
      </w:r>
      <w:r>
        <w:rPr>
          <w:rFonts w:ascii="Segoe UI" w:hAnsi="Segoe UI" w:cs="Segoe UI"/>
          <w:i/>
          <w:noProof/>
          <w:sz w:val="18"/>
          <w:szCs w:val="18"/>
          <w:lang w:val="en-IE"/>
        </w:rPr>
        <w:t xml:space="preserve"> </w:t>
      </w:r>
      <w:r>
        <w:rPr>
          <w:rFonts w:eastAsia="Aptos" w:cs="Arial"/>
          <w:i/>
          <w:noProof/>
          <w:szCs w:val="24"/>
          <w:lang w:val="en-IE"/>
        </w:rPr>
        <w:t>including the guidance of the Venice Commission on how to improve the current system</w:t>
      </w:r>
      <w:r>
        <w:rPr>
          <w:rFonts w:eastAsia="Aptos" w:cs="Arial"/>
          <w:noProof/>
          <w:szCs w:val="24"/>
          <w:lang w:val="en-IE"/>
        </w:rPr>
        <w:t>.</w:t>
      </w:r>
    </w:p>
    <w:p w14:paraId="449B504D" w14:textId="77777777" w:rsidR="00C31E7F" w:rsidRPr="00D16464" w:rsidRDefault="00C31E7F" w:rsidP="00C31E7F">
      <w:pPr>
        <w:numPr>
          <w:ilvl w:val="0"/>
          <w:numId w:val="25"/>
        </w:num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r>
        <w:rPr>
          <w:rFonts w:eastAsia="Aptos" w:cs="Arial"/>
          <w:noProof/>
          <w:lang w:val="en-IE"/>
        </w:rPr>
        <w:t xml:space="preserve">Significant progress was made to strengthen the statute of the Prosecutor General, as a reform of the Code of Criminal Procedure is under discussion in Parliament. </w:t>
      </w:r>
      <w:r>
        <w:rPr>
          <w:noProof/>
          <w:lang w:val="en-IE" w:eastAsia="en-GB"/>
        </w:rPr>
        <w:t xml:space="preserve">Since the reform remains to be adopted, it is recommended to Spain to </w:t>
      </w:r>
      <w:r>
        <w:rPr>
          <w:i/>
          <w:noProof/>
          <w:lang w:val="en-IE" w:eastAsia="en-GB"/>
        </w:rPr>
        <w:t>continue ongoing efforts to strengthen the statute of the Prosecutor General, in particular regarding the separation of the terms of office of the Prosecutor General from that of the Government, taking into account European standards on independence and autonomy of the prosecution</w:t>
      </w:r>
      <w:r>
        <w:rPr>
          <w:noProof/>
          <w:lang w:val="en-IE" w:eastAsia="en-GB"/>
        </w:rPr>
        <w:t>.</w:t>
      </w:r>
    </w:p>
    <w:p w14:paraId="1564602F" w14:textId="77777777" w:rsidR="00C31E7F" w:rsidRPr="00D16464" w:rsidRDefault="00C31E7F" w:rsidP="00C31E7F">
      <w:pPr>
        <w:numPr>
          <w:ilvl w:val="0"/>
          <w:numId w:val="25"/>
        </w:num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r>
        <w:rPr>
          <w:noProof/>
          <w:lang w:val="en-IE" w:eastAsia="en-GB"/>
        </w:rPr>
        <w:t xml:space="preserve">Some progress was made to address the length of investigations and prosecutions of high-level corruption cases due to efforts to increase staffing and due to the tabled reform of the Code of Criminal Procedure. Since challenges remain and the draft legislation to increase efficiency is still under discussion in Parliament, it is recommended to Spain to </w:t>
      </w:r>
      <w:r>
        <w:rPr>
          <w:i/>
          <w:noProof/>
          <w:lang w:val="en-IE" w:eastAsia="en-GB"/>
        </w:rPr>
        <w:t>take forward the legislative process to revise the Code of Criminal Procedure to strengthen the framework for investigations and prosecutions in high-level corruption cases, with a view to reducing delays</w:t>
      </w:r>
      <w:r>
        <w:rPr>
          <w:noProof/>
          <w:lang w:val="en-IE" w:eastAsia="en-GB"/>
        </w:rPr>
        <w:t>.</w:t>
      </w:r>
    </w:p>
    <w:p w14:paraId="46CAA61E" w14:textId="77777777" w:rsidR="00C31E7F" w:rsidRPr="00D16464" w:rsidRDefault="00C31E7F" w:rsidP="00C31E7F">
      <w:pPr>
        <w:numPr>
          <w:ilvl w:val="0"/>
          <w:numId w:val="25"/>
        </w:numPr>
        <w:pBdr>
          <w:top w:val="single" w:sz="4" w:space="1" w:color="auto"/>
          <w:left w:val="single" w:sz="4" w:space="4" w:color="auto"/>
          <w:bottom w:val="single" w:sz="4" w:space="17" w:color="auto"/>
          <w:right w:val="single" w:sz="4" w:space="4" w:color="auto"/>
        </w:pBdr>
        <w:spacing w:after="0"/>
        <w:contextualSpacing/>
        <w:rPr>
          <w:b/>
          <w:bCs/>
          <w:noProof/>
          <w:lang w:val="en-IE" w:eastAsia="en-GB"/>
        </w:rPr>
      </w:pPr>
      <w:r>
        <w:rPr>
          <w:rFonts w:eastAsia="Aptos" w:cs="Arial"/>
          <w:noProof/>
          <w:lang w:val="en-IE"/>
        </w:rPr>
        <w:t xml:space="preserve">Limited progress was made to strengthen the rules on conflicts of interest and asset declarations of persons in top executive functions. Given that the draft Organic Law on Public Integrity has been tabled and the State Anti-Corruption Plan has been adopted, but practical implementation of the existing rules has not improved, it is recommended to Spain to </w:t>
      </w:r>
      <w:r>
        <w:rPr>
          <w:rFonts w:eastAsia="Aptos" w:cs="Arial"/>
          <w:i/>
          <w:noProof/>
          <w:lang w:val="en-IE"/>
        </w:rPr>
        <w:t>take forward the legislative process to strengthen rules on conflicts of interest and asset declarations of persons with top executive functions, and ensure independence and effective detection and sanctioning powers of the competent supervisory body</w:t>
      </w:r>
      <w:r>
        <w:rPr>
          <w:rFonts w:eastAsia="Aptos" w:cs="Arial"/>
          <w:noProof/>
          <w:lang w:val="en-IE"/>
        </w:rPr>
        <w:t>.</w:t>
      </w:r>
    </w:p>
    <w:p w14:paraId="6753ABD5" w14:textId="77777777" w:rsidR="00C31E7F" w:rsidRPr="00D16464" w:rsidRDefault="00C31E7F" w:rsidP="00C31E7F">
      <w:pPr>
        <w:numPr>
          <w:ilvl w:val="0"/>
          <w:numId w:val="25"/>
        </w:numPr>
        <w:pBdr>
          <w:top w:val="single" w:sz="4" w:space="1" w:color="auto"/>
          <w:left w:val="single" w:sz="4" w:space="4" w:color="auto"/>
          <w:bottom w:val="single" w:sz="4" w:space="17" w:color="auto"/>
          <w:right w:val="single" w:sz="4" w:space="4" w:color="auto"/>
        </w:pBdr>
        <w:spacing w:after="0"/>
        <w:contextualSpacing/>
        <w:rPr>
          <w:b/>
          <w:noProof/>
          <w:szCs w:val="24"/>
          <w:lang w:val="en-IE" w:eastAsia="en-GB"/>
        </w:rPr>
      </w:pPr>
      <w:r>
        <w:rPr>
          <w:rFonts w:eastAsia="Aptos" w:cs="Arial"/>
          <w:noProof/>
          <w:szCs w:val="24"/>
          <w:lang w:val="en-IE"/>
        </w:rPr>
        <w:t xml:space="preserve">Limited progress was made on lobbying, as the draft Law on the Transparency and Integrity of the Activities of Interest Groups has not yet been adopted by Parliament. It is recommended to Spain to </w:t>
      </w:r>
      <w:r>
        <w:rPr>
          <w:rFonts w:eastAsia="Aptos" w:cs="Arial"/>
          <w:i/>
          <w:noProof/>
          <w:szCs w:val="24"/>
          <w:lang w:val="en-IE"/>
        </w:rPr>
        <w:t>continue the ongoing procedure to adopt legislation on lobbying, including the establishment of a mandatory public register of lobbyists</w:t>
      </w:r>
      <w:r>
        <w:rPr>
          <w:rFonts w:eastAsia="Aptos" w:cs="Arial"/>
          <w:noProof/>
          <w:szCs w:val="24"/>
          <w:lang w:val="en-IE"/>
        </w:rPr>
        <w:t>.</w:t>
      </w:r>
    </w:p>
    <w:p w14:paraId="7BEAC305" w14:textId="0FF3E98B" w:rsidR="00882ED2" w:rsidRPr="00B70ACC" w:rsidRDefault="00C31E7F" w:rsidP="00C31E7F">
      <w:pPr>
        <w:pStyle w:val="ListParagraph"/>
        <w:numPr>
          <w:ilvl w:val="0"/>
          <w:numId w:val="25"/>
        </w:numPr>
        <w:pBdr>
          <w:top w:val="single" w:sz="4" w:space="1" w:color="auto"/>
          <w:left w:val="single" w:sz="4" w:space="4" w:color="auto"/>
          <w:bottom w:val="single" w:sz="4" w:space="17" w:color="auto"/>
          <w:right w:val="single" w:sz="4" w:space="4" w:color="auto"/>
        </w:pBdr>
        <w:spacing w:after="0" w:line="259" w:lineRule="auto"/>
        <w:rPr>
          <w:noProof/>
        </w:rPr>
      </w:pPr>
      <w:r>
        <w:rPr>
          <w:rFonts w:eastAsia="Aptos" w:cs="Arial"/>
          <w:noProof/>
          <w:szCs w:val="24"/>
          <w:lang w:val="en-IE"/>
        </w:rPr>
        <w:t xml:space="preserve">Significant progress was made on strengthening access to information, in particular via the revision of the Law on Official Secrets. Therefore, it is recommended to Spain to </w:t>
      </w:r>
      <w:r>
        <w:rPr>
          <w:rFonts w:eastAsia="Aptos" w:cs="Arial"/>
          <w:i/>
          <w:noProof/>
          <w:szCs w:val="24"/>
          <w:lang w:val="en-IE"/>
        </w:rPr>
        <w:t>complete the work on strengthening access to information, in particular via the adoption of the Law on Official Secrets and the Law on Open Administration, taking into account European standards on access to official documents</w:t>
      </w:r>
      <w:r>
        <w:rPr>
          <w:rFonts w:eastAsia="Aptos" w:cs="Arial"/>
          <w:noProof/>
          <w:szCs w:val="24"/>
          <w:lang w:val="en-IE"/>
        </w:rPr>
        <w:t>.</w:t>
      </w:r>
    </w:p>
    <w:bookmarkEnd w:id="2"/>
    <w:p w14:paraId="664BF575" w14:textId="3A74AD4E" w:rsidR="00882ED2" w:rsidRPr="004160BA" w:rsidRDefault="00882ED2" w:rsidP="004160BA">
      <w:pPr>
        <w:spacing w:after="0"/>
        <w:jc w:val="left"/>
        <w:rPr>
          <w:b/>
          <w:smallCaps/>
          <w:noProof/>
          <w:szCs w:val="24"/>
          <w:u w:val="single"/>
          <w:lang w:eastAsia="fr-FR"/>
        </w:rPr>
      </w:pPr>
      <w:r>
        <w:rPr>
          <w:b/>
          <w:smallCaps/>
          <w:noProof/>
          <w:szCs w:val="24"/>
          <w:u w:val="single"/>
          <w:lang w:eastAsia="fr-FR"/>
        </w:rPr>
        <w:br w:type="page"/>
      </w:r>
    </w:p>
    <w:p w14:paraId="650BD360" w14:textId="32A9F48E" w:rsidR="00933ED2" w:rsidRPr="001877F5" w:rsidRDefault="00933ED2" w:rsidP="001877F5">
      <w:pPr>
        <w:pStyle w:val="ListParagraph"/>
        <w:keepNext/>
        <w:numPr>
          <w:ilvl w:val="0"/>
          <w:numId w:val="39"/>
        </w:numPr>
        <w:outlineLvl w:val="0"/>
        <w:rPr>
          <w:b/>
          <w:smallCaps/>
          <w:noProof/>
          <w:szCs w:val="24"/>
          <w:u w:val="single"/>
          <w:lang w:eastAsia="fr-FR"/>
        </w:rPr>
      </w:pPr>
      <w:r w:rsidRPr="001877F5">
        <w:rPr>
          <w:b/>
          <w:smallCaps/>
          <w:noProof/>
          <w:szCs w:val="24"/>
          <w:u w:val="single"/>
          <w:lang w:eastAsia="fr-FR"/>
        </w:rPr>
        <w:t>Justice System</w:t>
      </w:r>
      <w:r w:rsidRPr="00933ED2">
        <w:rPr>
          <w:bCs/>
          <w:noProof/>
          <w:vertAlign w:val="superscript"/>
        </w:rPr>
        <w:footnoteReference w:id="1"/>
      </w:r>
      <w:r w:rsidRPr="001877F5">
        <w:rPr>
          <w:bCs/>
          <w:smallCaps/>
          <w:noProof/>
          <w:lang w:eastAsia="fr-FR"/>
        </w:rPr>
        <w:t xml:space="preserve"> </w:t>
      </w:r>
    </w:p>
    <w:p w14:paraId="11B8ECB5" w14:textId="77777777" w:rsidR="00933ED2" w:rsidRPr="00933ED2" w:rsidRDefault="00933ED2" w:rsidP="00933ED2">
      <w:pPr>
        <w:keepNext/>
        <w:outlineLvl w:val="1"/>
        <w:rPr>
          <w:b/>
          <w:noProof/>
          <w:szCs w:val="24"/>
          <w:lang w:eastAsia="en-GB"/>
        </w:rPr>
      </w:pPr>
      <w:r w:rsidRPr="00933ED2">
        <w:rPr>
          <w:b/>
          <w:noProof/>
          <w:szCs w:val="24"/>
          <w:lang w:eastAsia="en-GB"/>
        </w:rPr>
        <w:t xml:space="preserve">Independence </w:t>
      </w:r>
    </w:p>
    <w:p w14:paraId="7E5DA5A1" w14:textId="77777777" w:rsidR="00933ED2" w:rsidRPr="00933ED2" w:rsidRDefault="00933ED2" w:rsidP="00933ED2">
      <w:pPr>
        <w:rPr>
          <w:rFonts w:eastAsiaTheme="minorHAnsi"/>
          <w:noProof/>
          <w:szCs w:val="24"/>
          <w:lang w:val="en-US" w:eastAsia="en-US"/>
        </w:rPr>
      </w:pPr>
      <w:r w:rsidRPr="00933ED2">
        <w:rPr>
          <w:rFonts w:eastAsiaTheme="minorHAnsi"/>
          <w:b/>
          <w:bCs/>
          <w:noProof/>
          <w:szCs w:val="24"/>
          <w:lang w:val="en-US" w:eastAsia="en-US"/>
        </w:rPr>
        <w:t xml:space="preserve">The level of perceived judicial independence in Spain is now average among the general public </w:t>
      </w:r>
      <w:r w:rsidRPr="00933ED2">
        <w:rPr>
          <w:rFonts w:eastAsiaTheme="minorHAnsi"/>
          <w:b/>
          <w:noProof/>
          <w:szCs w:val="24"/>
          <w:lang w:val="en-US" w:eastAsia="en-US"/>
        </w:rPr>
        <w:t>and</w:t>
      </w:r>
      <w:r w:rsidRPr="00933ED2">
        <w:rPr>
          <w:rFonts w:eastAsiaTheme="minorHAnsi"/>
          <w:b/>
          <w:bCs/>
          <w:noProof/>
          <w:szCs w:val="24"/>
          <w:lang w:val="en-US" w:eastAsia="en-US"/>
        </w:rPr>
        <w:t xml:space="preserve"> remains average among companies</w:t>
      </w:r>
      <w:r w:rsidRPr="00933ED2">
        <w:rPr>
          <w:rFonts w:eastAsiaTheme="minorHAnsi"/>
          <w:noProof/>
          <w:szCs w:val="24"/>
          <w:lang w:val="en-US" w:eastAsia="en-US"/>
        </w:rPr>
        <w:t>. Overall, 40% of the general population and 46% of companies perceive the level of independence of courts and judges to be ‘fairly or very good’ in 2026</w:t>
      </w:r>
      <w:r w:rsidRPr="00933ED2">
        <w:rPr>
          <w:rFonts w:eastAsiaTheme="minorHAnsi"/>
          <w:noProof/>
          <w:szCs w:val="24"/>
          <w:vertAlign w:val="superscript"/>
          <w:lang w:val="en-US" w:eastAsia="en-US"/>
        </w:rPr>
        <w:footnoteReference w:id="2"/>
      </w:r>
      <w:r w:rsidRPr="00933ED2">
        <w:rPr>
          <w:rFonts w:eastAsiaTheme="minorHAnsi"/>
          <w:noProof/>
          <w:szCs w:val="24"/>
          <w:lang w:val="en-US" w:eastAsia="en-US"/>
        </w:rPr>
        <w:t>. The perceived judicial independence among the general public has slightly increased in comparison with 2025 (39%), as well as in comparison with 2022 (38%). The perceived judicial independence among companies has increased in comparison with 2025 (40%), as well as in comparison with 2022 (41%).</w:t>
      </w:r>
    </w:p>
    <w:p w14:paraId="69A8156F" w14:textId="74A9D379" w:rsidR="00933ED2" w:rsidRPr="00933ED2" w:rsidRDefault="00933ED2" w:rsidP="00933ED2">
      <w:pPr>
        <w:rPr>
          <w:rFonts w:eastAsiaTheme="minorHAnsi"/>
          <w:noProof/>
          <w:szCs w:val="22"/>
          <w:lang w:val="en-US" w:eastAsia="en-US"/>
        </w:rPr>
      </w:pPr>
      <w:r w:rsidRPr="00933ED2">
        <w:rPr>
          <w:b/>
          <w:bCs/>
          <w:noProof/>
          <w:szCs w:val="22"/>
          <w:lang w:eastAsia="fr-FR"/>
        </w:rPr>
        <w:t>There was some further progress on the recommendation to take forward the process of adapting the appointment procedure of the Council for the Judiciary’s judges-members</w:t>
      </w:r>
      <w:r w:rsidRPr="00933ED2">
        <w:rPr>
          <w:b/>
          <w:bCs/>
          <w:noProof/>
          <w:szCs w:val="22"/>
          <w:vertAlign w:val="superscript"/>
          <w:lang w:eastAsia="fr-FR"/>
        </w:rPr>
        <w:footnoteReference w:id="3"/>
      </w:r>
      <w:r w:rsidRPr="00933ED2">
        <w:rPr>
          <w:b/>
          <w:bCs/>
          <w:noProof/>
          <w:szCs w:val="22"/>
          <w:lang w:eastAsia="fr-FR"/>
        </w:rPr>
        <w:t xml:space="preserve">. </w:t>
      </w:r>
      <w:r w:rsidRPr="00933ED2">
        <w:rPr>
          <w:noProof/>
          <w:szCs w:val="22"/>
          <w:lang w:eastAsia="fr-FR"/>
        </w:rPr>
        <w:t xml:space="preserve">In February 2025, the Council for the Judiciary had adopted a proposal regarding the election of the judges-members, presenting two alternative models: </w:t>
      </w:r>
      <w:r w:rsidRPr="00933ED2">
        <w:rPr>
          <w:rFonts w:eastAsiaTheme="minorHAnsi"/>
          <w:noProof/>
          <w:szCs w:val="22"/>
          <w:lang w:val="en-IE" w:eastAsia="en-US"/>
        </w:rPr>
        <w:t>one model where judicial members would be directly chosen by judges, and another where this would still be done by Parliament</w:t>
      </w:r>
      <w:r w:rsidRPr="00933ED2">
        <w:rPr>
          <w:rFonts w:eastAsiaTheme="minorHAnsi"/>
          <w:noProof/>
          <w:szCs w:val="22"/>
          <w:vertAlign w:val="superscript"/>
          <w:lang w:val="en-IE" w:eastAsia="en-US"/>
        </w:rPr>
        <w:footnoteReference w:id="4"/>
      </w:r>
      <w:r w:rsidRPr="00933ED2">
        <w:rPr>
          <w:rFonts w:eastAsiaTheme="minorHAnsi"/>
          <w:noProof/>
          <w:szCs w:val="22"/>
          <w:lang w:val="en-IE" w:eastAsia="en-US"/>
        </w:rPr>
        <w:t>. Following a request from the Council for the Judiciary, o</w:t>
      </w:r>
      <w:r w:rsidRPr="00933ED2">
        <w:rPr>
          <w:noProof/>
          <w:szCs w:val="22"/>
          <w:lang w:eastAsia="fr-FR"/>
        </w:rPr>
        <w:t>n 13 October 2025, the Venice Commission adopted an Opinion on the matter</w:t>
      </w:r>
      <w:r w:rsidRPr="00933ED2">
        <w:rPr>
          <w:noProof/>
          <w:szCs w:val="22"/>
          <w:vertAlign w:val="superscript"/>
          <w:lang w:eastAsia="fr-FR"/>
        </w:rPr>
        <w:footnoteReference w:id="5"/>
      </w:r>
      <w:r w:rsidRPr="00933ED2">
        <w:rPr>
          <w:noProof/>
          <w:szCs w:val="22"/>
          <w:lang w:eastAsia="fr-FR"/>
        </w:rPr>
        <w:t>. As regards the first model, it considered it in line with the Council of Europe standard of peer election, as judges would directly elect the Council’s judicial members. However, according to the Venice Commission the risk of internal politicisation should not be overlooked, especially where judicial associations may exert significant influence over nominations and campaigning, potentially shaping the election process. As regards the second model, the Venice Commission noted that it would not be in line with the Council of Europe standard of peer election, taking the view that in addition to the internal risks of politicisation of the first model, it makes the procedure vulnerable to external politicisation in Parliament</w:t>
      </w:r>
      <w:r w:rsidRPr="00933ED2">
        <w:rPr>
          <w:noProof/>
          <w:szCs w:val="22"/>
          <w:vertAlign w:val="superscript"/>
          <w:lang w:eastAsia="fr-FR"/>
        </w:rPr>
        <w:footnoteReference w:id="6"/>
      </w:r>
      <w:r w:rsidRPr="00933ED2">
        <w:rPr>
          <w:noProof/>
          <w:szCs w:val="22"/>
          <w:lang w:eastAsia="fr-FR"/>
        </w:rPr>
        <w:t>. A parliamentary group lodged two draft laws in Parliament to reform the Organic Law on the Judiciary</w:t>
      </w:r>
      <w:r w:rsidRPr="00933ED2">
        <w:rPr>
          <w:noProof/>
          <w:szCs w:val="22"/>
          <w:vertAlign w:val="superscript"/>
          <w:lang w:eastAsia="fr-FR"/>
        </w:rPr>
        <w:footnoteReference w:id="7"/>
      </w:r>
      <w:r w:rsidRPr="00933ED2">
        <w:rPr>
          <w:noProof/>
          <w:szCs w:val="22"/>
          <w:lang w:eastAsia="fr-FR"/>
        </w:rPr>
        <w:t>, proposing a system of peer-election of the judges-members of the Council for the Judiciary</w:t>
      </w:r>
      <w:r w:rsidRPr="00933ED2">
        <w:rPr>
          <w:noProof/>
          <w:szCs w:val="22"/>
          <w:vertAlign w:val="superscript"/>
          <w:lang w:eastAsia="fr-FR"/>
        </w:rPr>
        <w:footnoteReference w:id="8"/>
      </w:r>
      <w:r w:rsidRPr="00933ED2">
        <w:rPr>
          <w:noProof/>
          <w:szCs w:val="22"/>
          <w:lang w:eastAsia="fr-FR"/>
        </w:rPr>
        <w:t>. Some stakeholders continue to call for further legislative steps to address the existing concerns related to the current system of appointment of Council’s members</w:t>
      </w:r>
      <w:r w:rsidRPr="00933ED2">
        <w:rPr>
          <w:noProof/>
          <w:szCs w:val="22"/>
          <w:vertAlign w:val="superscript"/>
          <w:lang w:eastAsia="fr-FR"/>
        </w:rPr>
        <w:footnoteReference w:id="9"/>
      </w:r>
      <w:r w:rsidRPr="00933ED2">
        <w:rPr>
          <w:noProof/>
          <w:szCs w:val="22"/>
          <w:lang w:eastAsia="fr-FR"/>
        </w:rPr>
        <w:t xml:space="preserve">. Overall, some further progress has been made on the recommendation in the 2025 Rule of Law Report: the Council for the Judiciary requested and obtained guidance from the Venice Commission, and the process to adapt the appointment procedure of the judges-members has been introduced into Parliament. However, significant further steps are needed to </w:t>
      </w:r>
      <w:r w:rsidR="00CF0C3E">
        <w:rPr>
          <w:noProof/>
          <w:szCs w:val="22"/>
          <w:lang w:eastAsia="fr-FR"/>
        </w:rPr>
        <w:t xml:space="preserve">find a consensus </w:t>
      </w:r>
      <w:r w:rsidR="00564D33">
        <w:rPr>
          <w:noProof/>
          <w:szCs w:val="22"/>
          <w:lang w:eastAsia="fr-FR"/>
        </w:rPr>
        <w:t xml:space="preserve">on </w:t>
      </w:r>
      <w:r w:rsidRPr="00933ED2">
        <w:rPr>
          <w:noProof/>
          <w:szCs w:val="22"/>
          <w:lang w:eastAsia="fr-FR"/>
        </w:rPr>
        <w:t>finalis</w:t>
      </w:r>
      <w:r w:rsidR="00564D33">
        <w:rPr>
          <w:noProof/>
          <w:szCs w:val="22"/>
          <w:lang w:eastAsia="fr-FR"/>
        </w:rPr>
        <w:t>ing</w:t>
      </w:r>
      <w:r w:rsidRPr="00933ED2">
        <w:rPr>
          <w:noProof/>
          <w:szCs w:val="22"/>
          <w:lang w:eastAsia="fr-FR"/>
        </w:rPr>
        <w:t xml:space="preserve"> the process to adapt the appointment procedure of the judges-members</w:t>
      </w:r>
      <w:r w:rsidR="00FB41AF">
        <w:rPr>
          <w:noProof/>
          <w:szCs w:val="22"/>
          <w:lang w:eastAsia="fr-FR"/>
        </w:rPr>
        <w:t>, based on the guidance of the Venice Commission on how to improve the current system</w:t>
      </w:r>
      <w:r w:rsidRPr="00933ED2">
        <w:rPr>
          <w:noProof/>
          <w:szCs w:val="22"/>
          <w:lang w:eastAsia="fr-FR"/>
        </w:rPr>
        <w:t>.</w:t>
      </w:r>
    </w:p>
    <w:p w14:paraId="704B3E94" w14:textId="77777777" w:rsidR="00933ED2" w:rsidRPr="00933ED2" w:rsidRDefault="00933ED2" w:rsidP="00933ED2">
      <w:pPr>
        <w:rPr>
          <w:noProof/>
          <w:szCs w:val="22"/>
          <w:lang w:eastAsia="fr-FR"/>
        </w:rPr>
      </w:pPr>
      <w:r w:rsidRPr="00933ED2">
        <w:rPr>
          <w:b/>
          <w:bCs/>
          <w:noProof/>
          <w:szCs w:val="22"/>
          <w:lang w:eastAsia="fr-FR"/>
        </w:rPr>
        <w:t xml:space="preserve">The Council for the Judiciary continues to fulfil its functions in the justice system following its renewal in 2024, including by proceeding with appointments to top judicial positions. </w:t>
      </w:r>
      <w:r w:rsidRPr="00933ED2">
        <w:rPr>
          <w:noProof/>
          <w:szCs w:val="22"/>
          <w:lang w:eastAsia="fr-FR"/>
        </w:rPr>
        <w:t>Since its renewal in July 2024, the Council for the Judiciary has been able to make 196 appointments to top judicial positions</w:t>
      </w:r>
      <w:r w:rsidRPr="00933ED2">
        <w:rPr>
          <w:noProof/>
          <w:szCs w:val="22"/>
          <w:vertAlign w:val="superscript"/>
          <w:lang w:eastAsia="fr-FR"/>
        </w:rPr>
        <w:footnoteReference w:id="10"/>
      </w:r>
      <w:r w:rsidRPr="00933ED2">
        <w:rPr>
          <w:noProof/>
          <w:szCs w:val="22"/>
          <w:lang w:eastAsia="fr-FR"/>
        </w:rPr>
        <w:t>, most of them with a broad consensus</w:t>
      </w:r>
      <w:r w:rsidRPr="00933ED2">
        <w:rPr>
          <w:noProof/>
          <w:szCs w:val="22"/>
          <w:vertAlign w:val="superscript"/>
          <w:lang w:eastAsia="fr-FR"/>
        </w:rPr>
        <w:footnoteReference w:id="11"/>
      </w:r>
      <w:r w:rsidRPr="00933ED2">
        <w:rPr>
          <w:noProof/>
          <w:szCs w:val="22"/>
          <w:lang w:eastAsia="fr-FR"/>
        </w:rPr>
        <w:t>, thereby positively impacting on the work of the justice system as a whole. Stakeholders have raised concerns about the influence of other elements beyond merit and capacity on the appointments to top judicial positions, while the Council for the Judiciary states that such appointments are carried out in an objective and reasoned manner</w:t>
      </w:r>
      <w:r w:rsidRPr="00933ED2">
        <w:rPr>
          <w:noProof/>
          <w:szCs w:val="22"/>
          <w:vertAlign w:val="superscript"/>
          <w:lang w:eastAsia="fr-FR"/>
        </w:rPr>
        <w:footnoteReference w:id="12"/>
      </w:r>
      <w:r w:rsidRPr="00933ED2">
        <w:rPr>
          <w:noProof/>
          <w:szCs w:val="22"/>
          <w:lang w:eastAsia="fr-FR"/>
        </w:rPr>
        <w:t>.</w:t>
      </w:r>
      <w:r w:rsidRPr="00933ED2">
        <w:rPr>
          <w:noProof/>
          <w:szCs w:val="22"/>
          <w:vertAlign w:val="superscript"/>
          <w:lang w:eastAsia="fr-FR"/>
        </w:rPr>
        <w:t xml:space="preserve"> </w:t>
      </w:r>
    </w:p>
    <w:p w14:paraId="11ACAC41" w14:textId="77777777" w:rsidR="00933ED2" w:rsidRPr="00933ED2" w:rsidRDefault="00933ED2" w:rsidP="00933ED2">
      <w:pPr>
        <w:spacing w:after="200"/>
        <w:rPr>
          <w:rFonts w:eastAsiaTheme="minorHAnsi" w:cstheme="minorBidi"/>
          <w:noProof/>
          <w:szCs w:val="22"/>
          <w:lang w:val="en-IE" w:eastAsia="en-US"/>
        </w:rPr>
      </w:pPr>
      <w:r w:rsidRPr="00933ED2">
        <w:rPr>
          <w:b/>
          <w:bCs/>
          <w:noProof/>
          <w:szCs w:val="22"/>
          <w:lang w:eastAsia="fr-FR"/>
        </w:rPr>
        <w:t xml:space="preserve">There was significant progress on the recommendation to strengthen the statute of the Prosecutor General, </w:t>
      </w:r>
      <w:r w:rsidRPr="00933ED2">
        <w:rPr>
          <w:b/>
          <w:noProof/>
          <w:szCs w:val="22"/>
          <w:lang w:eastAsia="fr-FR"/>
        </w:rPr>
        <w:t xml:space="preserve">with a draft law </w:t>
      </w:r>
      <w:r w:rsidRPr="00933ED2">
        <w:rPr>
          <w:b/>
          <w:bCs/>
          <w:noProof/>
          <w:szCs w:val="22"/>
          <w:lang w:eastAsia="fr-FR"/>
        </w:rPr>
        <w:t xml:space="preserve">under discussion </w:t>
      </w:r>
      <w:r w:rsidRPr="00933ED2">
        <w:rPr>
          <w:b/>
          <w:noProof/>
          <w:szCs w:val="22"/>
          <w:lang w:eastAsia="fr-FR"/>
        </w:rPr>
        <w:t>in</w:t>
      </w:r>
      <w:r w:rsidRPr="00933ED2">
        <w:rPr>
          <w:b/>
          <w:bCs/>
          <w:noProof/>
          <w:szCs w:val="22"/>
          <w:lang w:eastAsia="fr-FR"/>
        </w:rPr>
        <w:t xml:space="preserve"> Parliament</w:t>
      </w:r>
      <w:r w:rsidRPr="00933ED2">
        <w:rPr>
          <w:b/>
          <w:bCs/>
          <w:noProof/>
          <w:szCs w:val="22"/>
          <w:vertAlign w:val="superscript"/>
          <w:lang w:eastAsia="fr-FR"/>
        </w:rPr>
        <w:footnoteReference w:id="13"/>
      </w:r>
      <w:r w:rsidRPr="00933ED2">
        <w:rPr>
          <w:b/>
          <w:bCs/>
          <w:noProof/>
          <w:szCs w:val="22"/>
          <w:lang w:eastAsia="fr-FR"/>
        </w:rPr>
        <w:t xml:space="preserve">. </w:t>
      </w:r>
      <w:r w:rsidRPr="00933ED2">
        <w:rPr>
          <w:noProof/>
          <w:szCs w:val="22"/>
          <w:lang w:eastAsia="fr-FR"/>
        </w:rPr>
        <w:t>On 30 October 2025, the Government tabled a reform of the Code of Criminal Procedure, which includes new provisions on the statute of the Prosecutor General</w:t>
      </w:r>
      <w:r w:rsidRPr="00933ED2">
        <w:rPr>
          <w:noProof/>
          <w:szCs w:val="22"/>
          <w:vertAlign w:val="superscript"/>
          <w:lang w:eastAsia="fr-FR"/>
        </w:rPr>
        <w:footnoteReference w:id="14"/>
      </w:r>
      <w:r w:rsidRPr="00933ED2">
        <w:rPr>
          <w:noProof/>
          <w:szCs w:val="22"/>
          <w:lang w:eastAsia="fr-FR"/>
        </w:rPr>
        <w:t xml:space="preserve">. It comprises two key initiatives, proposing that the Prosecutor General serves a non-renewable five-year term that would no longer coincide with the Government’s term, and that the responsibility for conducting criminal investigations would shift from judges to prosecutors. The latter </w:t>
      </w:r>
      <w:r w:rsidRPr="00933ED2">
        <w:rPr>
          <w:noProof/>
          <w:szCs w:val="22"/>
          <w:lang w:val="en-US" w:eastAsia="fr-FR"/>
        </w:rPr>
        <w:t xml:space="preserve">aims to make the criminal process more effective by placing the criminal investigation phase under the direction of the Public Prosecutor’s Office. </w:t>
      </w:r>
      <w:r w:rsidRPr="00933ED2">
        <w:rPr>
          <w:noProof/>
          <w:szCs w:val="22"/>
          <w:lang w:val="en-IE" w:eastAsia="fr-FR"/>
        </w:rPr>
        <w:t>The reform also provides that, prior to dismissing the Prosecutor General for serious or repeated failure to perform his or her duties, the Government must seek the opinion of the Council for the Judiciary.</w:t>
      </w:r>
      <w:r w:rsidRPr="00933ED2">
        <w:rPr>
          <w:noProof/>
          <w:szCs w:val="22"/>
          <w:lang w:eastAsia="fr-FR"/>
        </w:rPr>
        <w:t xml:space="preserve"> Given the envisaged transfer of tasks from judges to prosecutors, stakeholders emphasise the need to reinforce the human and material resources of the prosecution service to effectively adapt to their newly envisaged role in conducting criminal investigations</w:t>
      </w:r>
      <w:r w:rsidRPr="00933ED2">
        <w:rPr>
          <w:noProof/>
          <w:szCs w:val="22"/>
          <w:vertAlign w:val="superscript"/>
          <w:lang w:eastAsia="fr-FR"/>
        </w:rPr>
        <w:footnoteReference w:id="15"/>
      </w:r>
      <w:r w:rsidRPr="00933ED2">
        <w:rPr>
          <w:noProof/>
          <w:szCs w:val="22"/>
          <w:lang w:eastAsia="fr-FR"/>
        </w:rPr>
        <w:t xml:space="preserve">. </w:t>
      </w:r>
      <w:r w:rsidRPr="00933ED2">
        <w:rPr>
          <w:rFonts w:eastAsiaTheme="minorHAnsi" w:cstheme="minorBidi"/>
          <w:noProof/>
          <w:szCs w:val="22"/>
          <w:lang w:val="en-IE" w:eastAsia="en-US"/>
        </w:rPr>
        <w:t>As reported in 2025</w:t>
      </w:r>
      <w:r w:rsidRPr="00933ED2">
        <w:rPr>
          <w:rFonts w:eastAsiaTheme="minorHAnsi" w:cstheme="minorBidi"/>
          <w:noProof/>
          <w:szCs w:val="22"/>
          <w:vertAlign w:val="superscript"/>
          <w:lang w:val="en-IE" w:eastAsia="en-US"/>
        </w:rPr>
        <w:footnoteReference w:id="16"/>
      </w:r>
      <w:r w:rsidRPr="00933ED2">
        <w:rPr>
          <w:rFonts w:eastAsiaTheme="minorHAnsi" w:cstheme="minorBidi"/>
          <w:noProof/>
          <w:szCs w:val="22"/>
          <w:lang w:val="en-IE" w:eastAsia="en-US"/>
        </w:rPr>
        <w:t>, some stakeholders raised concerns about risks to the independence and autonomy of prosecutors by lowering their professional safeguards</w:t>
      </w:r>
      <w:r w:rsidRPr="00933ED2">
        <w:rPr>
          <w:rFonts w:eastAsiaTheme="minorHAnsi" w:cstheme="minorBidi"/>
          <w:noProof/>
          <w:szCs w:val="22"/>
          <w:vertAlign w:val="superscript"/>
          <w:lang w:val="en-IE" w:eastAsia="en-US"/>
        </w:rPr>
        <w:footnoteReference w:id="17"/>
      </w:r>
      <w:r w:rsidRPr="00933ED2">
        <w:rPr>
          <w:rFonts w:eastAsiaTheme="minorHAnsi" w:cstheme="minorBidi"/>
          <w:noProof/>
          <w:szCs w:val="22"/>
          <w:lang w:val="en-IE" w:eastAsia="en-US"/>
        </w:rPr>
        <w:t>, whereas others see it as an opportunity to improve the democratic governance of the prosecution service and its necessary counterbalances</w:t>
      </w:r>
      <w:r w:rsidRPr="00933ED2">
        <w:rPr>
          <w:rFonts w:eastAsiaTheme="minorHAnsi" w:cstheme="minorBidi"/>
          <w:noProof/>
          <w:szCs w:val="22"/>
          <w:vertAlign w:val="superscript"/>
          <w:lang w:val="en-IE" w:eastAsia="en-US"/>
        </w:rPr>
        <w:footnoteReference w:id="18"/>
      </w:r>
      <w:r w:rsidRPr="00933ED2">
        <w:rPr>
          <w:rFonts w:eastAsiaTheme="minorHAnsi" w:cstheme="minorBidi"/>
          <w:noProof/>
          <w:szCs w:val="22"/>
          <w:lang w:val="en-IE" w:eastAsia="en-US"/>
        </w:rPr>
        <w:t xml:space="preserve">. The reform is still under discussion in the Parliament. </w:t>
      </w:r>
      <w:r w:rsidRPr="00933ED2">
        <w:rPr>
          <w:noProof/>
          <w:szCs w:val="22"/>
          <w:lang w:eastAsia="fr-FR"/>
        </w:rPr>
        <w:t>Overall, the first key initiative is a step towards strengthening the statute of the Prosecutor General, and there has been significant progress on the recommendation.</w:t>
      </w:r>
    </w:p>
    <w:p w14:paraId="2858F017" w14:textId="7506C90F" w:rsidR="00933ED2" w:rsidRPr="00933ED2" w:rsidRDefault="00933ED2" w:rsidP="00933ED2">
      <w:pPr>
        <w:rPr>
          <w:noProof/>
          <w:szCs w:val="22"/>
          <w:lang w:eastAsia="fr-FR"/>
        </w:rPr>
      </w:pPr>
      <w:r w:rsidRPr="00933ED2">
        <w:rPr>
          <w:b/>
          <w:bCs/>
          <w:noProof/>
          <w:szCs w:val="22"/>
          <w:lang w:eastAsia="fr-FR"/>
        </w:rPr>
        <w:t xml:space="preserve">Judges and legal practitioners continue raising concerns about public statements by politicians criticising decisions of courts. </w:t>
      </w:r>
      <w:r w:rsidRPr="00933ED2">
        <w:rPr>
          <w:noProof/>
          <w:szCs w:val="22"/>
          <w:lang w:eastAsia="fr-FR"/>
        </w:rPr>
        <w:t>Members of the judiciary, including the Supreme Court, the Council for the Judiciary and judges’ associations, as well as the Constitutional Court, continue flagging that statements against individual judges contribute to the erosion of public trust in the judiciary</w:t>
      </w:r>
      <w:r w:rsidRPr="00933ED2">
        <w:rPr>
          <w:noProof/>
          <w:szCs w:val="22"/>
          <w:vertAlign w:val="superscript"/>
          <w:lang w:eastAsia="fr-FR"/>
        </w:rPr>
        <w:footnoteReference w:id="19"/>
      </w:r>
      <w:r w:rsidRPr="00933ED2">
        <w:rPr>
          <w:noProof/>
          <w:szCs w:val="22"/>
          <w:lang w:eastAsia="fr-FR"/>
        </w:rPr>
        <w:t xml:space="preserve">. The Supreme Court reported </w:t>
      </w:r>
      <w:r w:rsidRPr="00933ED2" w:rsidDel="00B35F85">
        <w:rPr>
          <w:noProof/>
          <w:szCs w:val="22"/>
          <w:lang w:eastAsia="fr-FR"/>
        </w:rPr>
        <w:t xml:space="preserve">accusations of </w:t>
      </w:r>
      <w:r w:rsidRPr="00933ED2">
        <w:rPr>
          <w:noProof/>
          <w:szCs w:val="22"/>
          <w:lang w:eastAsia="fr-FR"/>
        </w:rPr>
        <w:t>“</w:t>
      </w:r>
      <w:r w:rsidRPr="00933ED2" w:rsidDel="00B35F85">
        <w:rPr>
          <w:noProof/>
          <w:szCs w:val="22"/>
          <w:lang w:eastAsia="fr-FR"/>
        </w:rPr>
        <w:t>judicial lawfare</w:t>
      </w:r>
      <w:r w:rsidRPr="00933ED2">
        <w:rPr>
          <w:noProof/>
          <w:szCs w:val="22"/>
          <w:lang w:eastAsia="fr-FR"/>
        </w:rPr>
        <w:t>”</w:t>
      </w:r>
      <w:r w:rsidRPr="00933ED2" w:rsidDel="00B35F85">
        <w:rPr>
          <w:noProof/>
          <w:szCs w:val="22"/>
          <w:lang w:eastAsia="fr-FR"/>
        </w:rPr>
        <w:t xml:space="preserve"> and </w:t>
      </w:r>
      <w:r w:rsidRPr="00933ED2">
        <w:rPr>
          <w:noProof/>
          <w:szCs w:val="22"/>
          <w:lang w:eastAsia="fr-FR"/>
        </w:rPr>
        <w:t>personal criticism directed at its magistrates, particularly after recent high-profile judgments</w:t>
      </w:r>
      <w:r w:rsidRPr="00933ED2">
        <w:rPr>
          <w:noProof/>
          <w:szCs w:val="22"/>
          <w:vertAlign w:val="superscript"/>
          <w:lang w:eastAsia="fr-FR"/>
        </w:rPr>
        <w:footnoteReference w:id="20"/>
      </w:r>
      <w:r w:rsidRPr="00933ED2">
        <w:rPr>
          <w:noProof/>
          <w:szCs w:val="22"/>
          <w:lang w:eastAsia="fr-FR"/>
        </w:rPr>
        <w:t>, while the General Council of Spanish Lawyers called for the necessary respect for judicial decisions as a fundamental pillar of the rule of law</w:t>
      </w:r>
      <w:r w:rsidRPr="00933ED2">
        <w:rPr>
          <w:noProof/>
          <w:szCs w:val="22"/>
          <w:vertAlign w:val="superscript"/>
          <w:lang w:eastAsia="fr-FR"/>
        </w:rPr>
        <w:footnoteReference w:id="21"/>
      </w:r>
      <w:r w:rsidRPr="00933ED2">
        <w:rPr>
          <w:noProof/>
          <w:szCs w:val="22"/>
          <w:lang w:eastAsia="fr-FR"/>
        </w:rPr>
        <w:t xml:space="preserve">. Conversely, criticism targeting politicians has been voiced by some judges </w:t>
      </w:r>
      <w:r w:rsidRPr="00D22F89">
        <w:rPr>
          <w:noProof/>
          <w:szCs w:val="22"/>
          <w:lang w:eastAsia="fr-FR"/>
        </w:rPr>
        <w:t>and some cases are currently handled by the Disciplinary Committee of the Council for the Judiciary</w:t>
      </w:r>
      <w:r w:rsidRPr="00933ED2">
        <w:rPr>
          <w:noProof/>
          <w:szCs w:val="22"/>
          <w:vertAlign w:val="superscript"/>
          <w:lang w:eastAsia="fr-FR"/>
        </w:rPr>
        <w:footnoteReference w:id="22"/>
      </w:r>
      <w:r w:rsidRPr="00933ED2">
        <w:rPr>
          <w:noProof/>
          <w:szCs w:val="22"/>
          <w:lang w:eastAsia="fr-FR"/>
        </w:rPr>
        <w:t xml:space="preserve">. </w:t>
      </w:r>
      <w:r w:rsidRPr="00933ED2">
        <w:rPr>
          <w:rFonts w:eastAsiaTheme="minorHAnsi" w:cstheme="minorBidi"/>
          <w:noProof/>
          <w:szCs w:val="22"/>
          <w:lang w:val="en-IE" w:eastAsia="en-US"/>
        </w:rPr>
        <w:t>According to European standards, while criticising judicial decisions is a normal aspect of democratic discourse, the executive and legislative powers should avoid criticism that undermines the independence of or public confidence in the judiciary</w:t>
      </w:r>
      <w:r w:rsidRPr="00933ED2">
        <w:rPr>
          <w:noProof/>
          <w:szCs w:val="22"/>
          <w:vertAlign w:val="superscript"/>
          <w:lang w:eastAsia="fr-FR"/>
        </w:rPr>
        <w:footnoteReference w:id="23"/>
      </w:r>
      <w:r w:rsidRPr="00933ED2">
        <w:rPr>
          <w:noProof/>
          <w:szCs w:val="22"/>
          <w:lang w:eastAsia="fr-FR"/>
        </w:rPr>
        <w:t>. Likewise, all State bodies, of the executive, legislative and judiciary, should apply mutual respect to ensure the proper functioning of constitutional institutions and protect the trust of the general public in them</w:t>
      </w:r>
      <w:r w:rsidRPr="00933ED2">
        <w:rPr>
          <w:noProof/>
          <w:szCs w:val="22"/>
          <w:vertAlign w:val="superscript"/>
          <w:lang w:eastAsia="fr-FR"/>
        </w:rPr>
        <w:footnoteReference w:id="24"/>
      </w:r>
      <w:r w:rsidRPr="00933ED2">
        <w:rPr>
          <w:noProof/>
          <w:szCs w:val="22"/>
          <w:lang w:eastAsia="fr-FR"/>
        </w:rPr>
        <w:t xml:space="preserve">. </w:t>
      </w:r>
    </w:p>
    <w:p w14:paraId="76FF57DA" w14:textId="77777777" w:rsidR="00933ED2" w:rsidRPr="00933ED2" w:rsidRDefault="00933ED2" w:rsidP="00933ED2">
      <w:pPr>
        <w:keepNext/>
        <w:outlineLvl w:val="1"/>
        <w:rPr>
          <w:b/>
          <w:noProof/>
          <w:szCs w:val="24"/>
          <w:lang w:eastAsia="en-GB"/>
        </w:rPr>
      </w:pPr>
      <w:r w:rsidRPr="00933ED2">
        <w:rPr>
          <w:b/>
          <w:noProof/>
          <w:szCs w:val="24"/>
          <w:lang w:eastAsia="en-GB"/>
        </w:rPr>
        <w:t xml:space="preserve">Quality </w:t>
      </w:r>
    </w:p>
    <w:p w14:paraId="3CDA3A8F" w14:textId="0C253221" w:rsidR="00933ED2" w:rsidRPr="00933ED2" w:rsidRDefault="00933ED2" w:rsidP="00933ED2">
      <w:pPr>
        <w:rPr>
          <w:noProof/>
          <w:szCs w:val="22"/>
          <w:lang w:eastAsia="fr-FR"/>
        </w:rPr>
      </w:pPr>
      <w:r w:rsidRPr="00933ED2">
        <w:rPr>
          <w:b/>
          <w:bCs/>
          <w:noProof/>
          <w:szCs w:val="22"/>
          <w:lang w:eastAsia="fr-FR"/>
        </w:rPr>
        <w:t xml:space="preserve">Initiatives are underway to increase the resources of the justice system. </w:t>
      </w:r>
      <w:r w:rsidRPr="00933ED2">
        <w:rPr>
          <w:noProof/>
          <w:szCs w:val="22"/>
          <w:lang w:eastAsia="fr-FR"/>
        </w:rPr>
        <w:t>The Council for the Judiciary adopted the 2026-2035 Strategic Plan for Human Resources in the Judicial Career</w:t>
      </w:r>
      <w:r w:rsidRPr="00933ED2">
        <w:rPr>
          <w:noProof/>
          <w:szCs w:val="22"/>
          <w:vertAlign w:val="superscript"/>
          <w:lang w:eastAsia="fr-FR"/>
        </w:rPr>
        <w:footnoteReference w:id="25"/>
      </w:r>
      <w:r w:rsidRPr="00933ED2">
        <w:rPr>
          <w:noProof/>
          <w:szCs w:val="22"/>
          <w:lang w:eastAsia="fr-FR"/>
        </w:rPr>
        <w:t>. The Plan considers the current number of judges insufficient and estimated an annual recruitment need of 367 judges until 2035. However, it noted that such level of recruitment would only cover replacement needs and would not address the existing deficit in judicial capacity, with 431 vacant positions reported at the end of 2025. Substitute judges fill many of these vacancies and represent one in six judges, while their number and share have declined</w:t>
      </w:r>
      <w:r w:rsidRPr="00933ED2">
        <w:rPr>
          <w:noProof/>
          <w:szCs w:val="22"/>
          <w:vertAlign w:val="superscript"/>
          <w:lang w:eastAsia="fr-FR"/>
        </w:rPr>
        <w:footnoteReference w:id="26"/>
      </w:r>
      <w:r w:rsidRPr="00933ED2">
        <w:rPr>
          <w:noProof/>
          <w:szCs w:val="22"/>
          <w:lang w:eastAsia="fr-FR"/>
        </w:rPr>
        <w:t>. The Government announced the creation of 500 new judicial positions in 2026 and a further 200 new prosecutor positions</w:t>
      </w:r>
      <w:r w:rsidR="009B3FDA">
        <w:rPr>
          <w:noProof/>
          <w:szCs w:val="22"/>
          <w:lang w:eastAsia="fr-FR"/>
        </w:rPr>
        <w:t xml:space="preserve">, and </w:t>
      </w:r>
      <w:r w:rsidR="009B3FDA" w:rsidRPr="009B3FDA">
        <w:rPr>
          <w:noProof/>
          <w:szCs w:val="22"/>
          <w:lang w:eastAsia="fr-FR"/>
        </w:rPr>
        <w:t xml:space="preserve">the corresponding launch of the recruitment process </w:t>
      </w:r>
      <w:r w:rsidR="008B253E">
        <w:rPr>
          <w:noProof/>
          <w:szCs w:val="22"/>
          <w:lang w:eastAsia="fr-FR"/>
        </w:rPr>
        <w:t xml:space="preserve">has </w:t>
      </w:r>
      <w:r w:rsidR="009B3FDA" w:rsidRPr="009B3FDA">
        <w:rPr>
          <w:noProof/>
          <w:szCs w:val="22"/>
          <w:lang w:eastAsia="fr-FR"/>
        </w:rPr>
        <w:t>been published</w:t>
      </w:r>
      <w:r w:rsidRPr="00933ED2">
        <w:rPr>
          <w:noProof/>
          <w:szCs w:val="22"/>
          <w:vertAlign w:val="superscript"/>
          <w:lang w:eastAsia="fr-FR"/>
        </w:rPr>
        <w:footnoteReference w:id="27"/>
      </w:r>
      <w:r w:rsidRPr="00933ED2">
        <w:rPr>
          <w:noProof/>
          <w:szCs w:val="22"/>
          <w:lang w:eastAsia="fr-FR"/>
        </w:rPr>
        <w:t>. These measures would increase the number of judges per inhabitant</w:t>
      </w:r>
      <w:r w:rsidRPr="00933ED2">
        <w:rPr>
          <w:noProof/>
          <w:szCs w:val="22"/>
          <w:vertAlign w:val="superscript"/>
          <w:lang w:eastAsia="fr-FR"/>
        </w:rPr>
        <w:footnoteReference w:id="28"/>
      </w:r>
      <w:r w:rsidRPr="00933ED2">
        <w:rPr>
          <w:noProof/>
          <w:szCs w:val="22"/>
          <w:lang w:eastAsia="fr-FR"/>
        </w:rPr>
        <w:t>, which is currently one of the lowest in the EU</w:t>
      </w:r>
      <w:r w:rsidRPr="00933ED2">
        <w:rPr>
          <w:noProof/>
          <w:szCs w:val="22"/>
          <w:vertAlign w:val="superscript"/>
          <w:lang w:eastAsia="fr-FR"/>
        </w:rPr>
        <w:footnoteReference w:id="29"/>
      </w:r>
      <w:r w:rsidRPr="00933ED2">
        <w:rPr>
          <w:noProof/>
          <w:szCs w:val="22"/>
          <w:lang w:eastAsia="fr-FR"/>
        </w:rPr>
        <w:t>. The draft law on judicial and prosecutorial careers</w:t>
      </w:r>
      <w:r w:rsidRPr="00933ED2">
        <w:rPr>
          <w:noProof/>
          <w:szCs w:val="22"/>
          <w:vertAlign w:val="superscript"/>
          <w:lang w:eastAsia="fr-FR"/>
        </w:rPr>
        <w:footnoteReference w:id="30"/>
      </w:r>
      <w:r w:rsidRPr="00933ED2">
        <w:rPr>
          <w:noProof/>
          <w:szCs w:val="22"/>
          <w:lang w:eastAsia="fr-FR"/>
        </w:rPr>
        <w:t>, tabled in May 2025 and still under discussion in Parliament, seeks to reform the access to these careers and stabilise the situation of substitute-judges and substitute-prosecutors. Some stakeholders continue to raise concerns about the possible impact of the proposed measures on the independence of justice</w:t>
      </w:r>
      <w:r w:rsidRPr="00933ED2">
        <w:rPr>
          <w:noProof/>
          <w:szCs w:val="22"/>
          <w:vertAlign w:val="superscript"/>
          <w:lang w:eastAsia="fr-FR"/>
        </w:rPr>
        <w:footnoteReference w:id="31"/>
      </w:r>
      <w:r w:rsidRPr="00933ED2">
        <w:rPr>
          <w:noProof/>
          <w:szCs w:val="22"/>
          <w:lang w:eastAsia="fr-FR"/>
        </w:rPr>
        <w:t>, while others support elements of the envisaged reform</w:t>
      </w:r>
      <w:r w:rsidRPr="00933ED2">
        <w:rPr>
          <w:noProof/>
          <w:szCs w:val="22"/>
          <w:vertAlign w:val="superscript"/>
          <w:lang w:eastAsia="fr-FR"/>
        </w:rPr>
        <w:footnoteReference w:id="32"/>
      </w:r>
      <w:r w:rsidRPr="00933ED2">
        <w:rPr>
          <w:noProof/>
          <w:szCs w:val="22"/>
          <w:lang w:eastAsia="fr-FR"/>
        </w:rPr>
        <w:t>. Judges</w:t>
      </w:r>
      <w:r w:rsidRPr="00933ED2" w:rsidDel="00F17C1F">
        <w:rPr>
          <w:noProof/>
          <w:szCs w:val="22"/>
          <w:lang w:eastAsia="fr-FR"/>
        </w:rPr>
        <w:t xml:space="preserve"> </w:t>
      </w:r>
      <w:r w:rsidRPr="00933ED2">
        <w:rPr>
          <w:noProof/>
          <w:szCs w:val="22"/>
          <w:lang w:eastAsia="fr-FR"/>
        </w:rPr>
        <w:t xml:space="preserve">and prosecutors </w:t>
      </w:r>
      <w:r w:rsidRPr="00933ED2" w:rsidDel="00F17C1F">
        <w:rPr>
          <w:noProof/>
          <w:szCs w:val="22"/>
          <w:lang w:eastAsia="fr-FR"/>
        </w:rPr>
        <w:t>also warn about the l</w:t>
      </w:r>
      <w:r w:rsidRPr="00933ED2">
        <w:rPr>
          <w:noProof/>
          <w:szCs w:val="22"/>
          <w:lang w:eastAsia="fr-FR"/>
        </w:rPr>
        <w:t>ack of sufficient</w:t>
      </w:r>
      <w:r w:rsidRPr="00933ED2" w:rsidDel="00F17C1F">
        <w:rPr>
          <w:noProof/>
          <w:szCs w:val="22"/>
          <w:lang w:eastAsia="fr-FR"/>
        </w:rPr>
        <w:t xml:space="preserve"> long</w:t>
      </w:r>
      <w:r w:rsidRPr="00933ED2" w:rsidDel="00F17C1F">
        <w:rPr>
          <w:bCs/>
          <w:noProof/>
          <w:lang w:eastAsia="fr-FR"/>
        </w:rPr>
        <w:noBreakHyphen/>
      </w:r>
      <w:r w:rsidRPr="00933ED2" w:rsidDel="00F17C1F">
        <w:rPr>
          <w:noProof/>
          <w:szCs w:val="22"/>
          <w:lang w:eastAsia="fr-FR"/>
        </w:rPr>
        <w:t>term planning of</w:t>
      </w:r>
      <w:r w:rsidRPr="00933ED2">
        <w:rPr>
          <w:noProof/>
          <w:szCs w:val="22"/>
          <w:lang w:eastAsia="fr-FR"/>
        </w:rPr>
        <w:t xml:space="preserve"> human</w:t>
      </w:r>
      <w:r w:rsidRPr="00933ED2" w:rsidDel="00F17C1F">
        <w:rPr>
          <w:noProof/>
          <w:szCs w:val="22"/>
          <w:lang w:eastAsia="fr-FR"/>
        </w:rPr>
        <w:t xml:space="preserve"> resources </w:t>
      </w:r>
      <w:r w:rsidRPr="00933ED2">
        <w:rPr>
          <w:noProof/>
          <w:szCs w:val="22"/>
          <w:lang w:eastAsia="fr-FR"/>
        </w:rPr>
        <w:t xml:space="preserve">to be </w:t>
      </w:r>
      <w:r w:rsidRPr="00933ED2" w:rsidDel="00F17C1F">
        <w:rPr>
          <w:noProof/>
          <w:szCs w:val="22"/>
          <w:lang w:eastAsia="fr-FR"/>
        </w:rPr>
        <w:t>allocated to the justice system</w:t>
      </w:r>
      <w:r w:rsidRPr="00933ED2">
        <w:rPr>
          <w:noProof/>
          <w:szCs w:val="22"/>
          <w:vertAlign w:val="superscript"/>
          <w:lang w:eastAsia="fr-FR"/>
        </w:rPr>
        <w:footnoteReference w:id="33"/>
      </w:r>
      <w:r w:rsidRPr="00933ED2" w:rsidDel="00F17C1F">
        <w:rPr>
          <w:noProof/>
          <w:szCs w:val="22"/>
          <w:lang w:eastAsia="fr-FR"/>
        </w:rPr>
        <w:t xml:space="preserve">. </w:t>
      </w:r>
      <w:r w:rsidRPr="00933ED2">
        <w:rPr>
          <w:noProof/>
          <w:szCs w:val="22"/>
          <w:lang w:eastAsia="fr-FR"/>
        </w:rPr>
        <w:t>In 2025, measures were implemented to enhance financial resources and improve the remuneration and working conditions of judges and prosecutors, including advancing the payment of judicial career arrears, with full regularisation expected by 2027</w:t>
      </w:r>
      <w:r w:rsidRPr="00933ED2">
        <w:rPr>
          <w:noProof/>
          <w:szCs w:val="22"/>
          <w:vertAlign w:val="superscript"/>
          <w:lang w:eastAsia="fr-FR"/>
        </w:rPr>
        <w:footnoteReference w:id="34"/>
      </w:r>
      <w:r w:rsidRPr="00933ED2">
        <w:rPr>
          <w:noProof/>
          <w:szCs w:val="22"/>
          <w:lang w:eastAsia="fr-FR"/>
        </w:rPr>
        <w:t>. Associations of judges have reiterated their concerns about the level of remuneration, especially for work-on-call shifts</w:t>
      </w:r>
      <w:r w:rsidRPr="00933ED2">
        <w:rPr>
          <w:noProof/>
          <w:szCs w:val="22"/>
          <w:vertAlign w:val="superscript"/>
          <w:lang w:eastAsia="fr-FR"/>
        </w:rPr>
        <w:footnoteReference w:id="35"/>
      </w:r>
      <w:r w:rsidRPr="00933ED2">
        <w:rPr>
          <w:noProof/>
          <w:szCs w:val="22"/>
          <w:lang w:eastAsia="fr-FR"/>
        </w:rPr>
        <w:t>. The Council for the Judiciary continues addressing concerns about excessive workload in the justice system</w:t>
      </w:r>
      <w:r w:rsidRPr="00933ED2">
        <w:rPr>
          <w:noProof/>
          <w:szCs w:val="22"/>
          <w:vertAlign w:val="superscript"/>
          <w:lang w:eastAsia="fr-FR"/>
        </w:rPr>
        <w:footnoteReference w:id="36"/>
      </w:r>
      <w:r w:rsidRPr="00933ED2">
        <w:rPr>
          <w:noProof/>
          <w:szCs w:val="22"/>
          <w:lang w:eastAsia="fr-FR"/>
        </w:rPr>
        <w:t>. In this context, it is conducting inspections, implementing reorganisations, and cooperating with the Ministry of Presidency, Justice and Relations with Parliament to create new positions and organise competitions</w:t>
      </w:r>
      <w:r w:rsidRPr="00933ED2">
        <w:rPr>
          <w:noProof/>
          <w:szCs w:val="22"/>
          <w:vertAlign w:val="superscript"/>
          <w:lang w:eastAsia="fr-FR"/>
        </w:rPr>
        <w:footnoteReference w:id="37"/>
      </w:r>
      <w:r w:rsidRPr="00933ED2">
        <w:rPr>
          <w:noProof/>
          <w:szCs w:val="22"/>
          <w:lang w:eastAsia="fr-FR"/>
        </w:rPr>
        <w:t>.</w:t>
      </w:r>
    </w:p>
    <w:p w14:paraId="1B055D3D" w14:textId="7868D8B9" w:rsidR="00933ED2" w:rsidRPr="00933ED2" w:rsidRDefault="00933ED2" w:rsidP="00933ED2">
      <w:pPr>
        <w:rPr>
          <w:noProof/>
          <w:szCs w:val="22"/>
          <w:lang w:eastAsia="fr-FR"/>
        </w:rPr>
      </w:pPr>
      <w:r w:rsidRPr="00933ED2">
        <w:rPr>
          <w:b/>
          <w:bCs/>
          <w:noProof/>
          <w:szCs w:val="22"/>
          <w:lang w:eastAsia="fr-FR"/>
        </w:rPr>
        <w:t xml:space="preserve">Efforts to </w:t>
      </w:r>
      <w:r w:rsidR="00430568">
        <w:rPr>
          <w:b/>
          <w:bCs/>
          <w:noProof/>
          <w:szCs w:val="22"/>
          <w:lang w:eastAsia="fr-FR"/>
        </w:rPr>
        <w:t xml:space="preserve">further </w:t>
      </w:r>
      <w:r w:rsidRPr="00933ED2">
        <w:rPr>
          <w:b/>
          <w:bCs/>
          <w:noProof/>
          <w:szCs w:val="22"/>
          <w:lang w:eastAsia="fr-FR"/>
        </w:rPr>
        <w:t xml:space="preserve">improve the </w:t>
      </w:r>
      <w:r w:rsidR="00A1624B">
        <w:rPr>
          <w:b/>
          <w:bCs/>
          <w:noProof/>
          <w:szCs w:val="22"/>
          <w:lang w:eastAsia="fr-FR"/>
        </w:rPr>
        <w:t xml:space="preserve">already </w:t>
      </w:r>
      <w:r w:rsidR="00430568">
        <w:rPr>
          <w:b/>
          <w:bCs/>
          <w:noProof/>
          <w:szCs w:val="22"/>
          <w:lang w:eastAsia="fr-FR"/>
        </w:rPr>
        <w:t xml:space="preserve">high level of </w:t>
      </w:r>
      <w:r w:rsidRPr="00933ED2">
        <w:rPr>
          <w:b/>
          <w:bCs/>
          <w:noProof/>
          <w:szCs w:val="22"/>
          <w:lang w:eastAsia="fr-FR"/>
        </w:rPr>
        <w:t>digitalisation of justice continued, while the</w:t>
      </w:r>
      <w:r w:rsidR="007E094E">
        <w:rPr>
          <w:b/>
          <w:bCs/>
          <w:noProof/>
          <w:szCs w:val="22"/>
          <w:lang w:eastAsia="fr-FR"/>
        </w:rPr>
        <w:t>re is still</w:t>
      </w:r>
      <w:r w:rsidRPr="00933ED2">
        <w:rPr>
          <w:b/>
          <w:bCs/>
          <w:noProof/>
          <w:szCs w:val="22"/>
          <w:lang w:eastAsia="fr-FR"/>
        </w:rPr>
        <w:t xml:space="preserve"> limited interoperability among national and regional case management systems</w:t>
      </w:r>
      <w:r w:rsidRPr="00933ED2">
        <w:rPr>
          <w:noProof/>
          <w:szCs w:val="22"/>
          <w:lang w:eastAsia="fr-FR"/>
        </w:rPr>
        <w:t>. The overall level of digitalisation of justice in Spain is one of the highest in the EU</w:t>
      </w:r>
      <w:r w:rsidRPr="00933ED2">
        <w:rPr>
          <w:noProof/>
          <w:szCs w:val="22"/>
          <w:vertAlign w:val="superscript"/>
          <w:lang w:eastAsia="fr-FR"/>
        </w:rPr>
        <w:footnoteReference w:id="38"/>
      </w:r>
      <w:r w:rsidRPr="00933ED2">
        <w:rPr>
          <w:noProof/>
          <w:szCs w:val="22"/>
          <w:lang w:eastAsia="fr-FR"/>
        </w:rPr>
        <w:t>. The Council for the Judiciary has adopted instructions for the use of artificial intelligence by courts</w:t>
      </w:r>
      <w:r w:rsidRPr="00933ED2">
        <w:rPr>
          <w:noProof/>
          <w:szCs w:val="22"/>
          <w:vertAlign w:val="superscript"/>
          <w:lang w:eastAsia="fr-FR"/>
        </w:rPr>
        <w:footnoteReference w:id="39"/>
      </w:r>
      <w:r w:rsidRPr="00933ED2">
        <w:rPr>
          <w:noProof/>
          <w:szCs w:val="22"/>
          <w:lang w:eastAsia="fr-FR"/>
        </w:rPr>
        <w:t>. The Government is introducing new digitalisation measures, including fully digitalising the Civil Registry by automating judicial and administrative processes (e.g. nationality files, cancellation of criminal records)</w:t>
      </w:r>
      <w:r w:rsidRPr="00933ED2">
        <w:rPr>
          <w:noProof/>
          <w:szCs w:val="22"/>
          <w:vertAlign w:val="superscript"/>
          <w:lang w:eastAsia="fr-FR"/>
        </w:rPr>
        <w:footnoteReference w:id="40"/>
      </w:r>
      <w:r w:rsidRPr="00933ED2">
        <w:rPr>
          <w:noProof/>
          <w:szCs w:val="22"/>
          <w:lang w:eastAsia="fr-FR"/>
        </w:rPr>
        <w:t>, using artificial intelligence tools to speed up procedural steps, promoting a “Justice Folder” for seamless online access to various justice services, and developing digital interoperability mechanisms to channel communication between courts (e.g., Justice Interoperability Hub)</w:t>
      </w:r>
      <w:r w:rsidRPr="00933ED2">
        <w:rPr>
          <w:noProof/>
          <w:szCs w:val="22"/>
          <w:vertAlign w:val="superscript"/>
          <w:lang w:eastAsia="fr-FR"/>
        </w:rPr>
        <w:footnoteReference w:id="41"/>
      </w:r>
      <w:r w:rsidRPr="00933ED2">
        <w:rPr>
          <w:noProof/>
          <w:szCs w:val="22"/>
          <w:lang w:eastAsia="fr-FR"/>
        </w:rPr>
        <w:t>. However, both judges and legal practitioners continue to emphasise the need to improve the limited interoperability between regional and central State justice management systems</w:t>
      </w:r>
      <w:r w:rsidRPr="00933ED2">
        <w:rPr>
          <w:noProof/>
          <w:szCs w:val="22"/>
          <w:vertAlign w:val="superscript"/>
          <w:lang w:eastAsia="fr-FR"/>
        </w:rPr>
        <w:footnoteReference w:id="42"/>
      </w:r>
      <w:r w:rsidRPr="00933ED2">
        <w:rPr>
          <w:noProof/>
          <w:szCs w:val="22"/>
          <w:lang w:eastAsia="fr-FR"/>
        </w:rPr>
        <w:t>. They also point at the significant disparities in digitalisation levels across regions</w:t>
      </w:r>
      <w:r w:rsidRPr="00933ED2">
        <w:rPr>
          <w:noProof/>
          <w:szCs w:val="22"/>
          <w:vertAlign w:val="superscript"/>
          <w:lang w:eastAsia="fr-FR"/>
        </w:rPr>
        <w:footnoteReference w:id="43"/>
      </w:r>
      <w:r w:rsidRPr="00933ED2">
        <w:rPr>
          <w:noProof/>
          <w:szCs w:val="22"/>
          <w:lang w:eastAsia="fr-FR"/>
        </w:rPr>
        <w:t xml:space="preserve"> and specific courts</w:t>
      </w:r>
      <w:r w:rsidRPr="00933ED2">
        <w:rPr>
          <w:noProof/>
          <w:szCs w:val="22"/>
          <w:vertAlign w:val="superscript"/>
          <w:lang w:eastAsia="fr-FR"/>
        </w:rPr>
        <w:footnoteReference w:id="44"/>
      </w:r>
      <w:r w:rsidRPr="00933ED2">
        <w:rPr>
          <w:noProof/>
          <w:szCs w:val="22"/>
          <w:lang w:eastAsia="fr-FR"/>
        </w:rPr>
        <w:t>, highlighting the need for enhancing national digitalisation coordination mechanisms</w:t>
      </w:r>
      <w:r w:rsidR="00E03FC7">
        <w:rPr>
          <w:rStyle w:val="FootnoteReference"/>
          <w:noProof/>
          <w:szCs w:val="22"/>
          <w:lang w:eastAsia="fr-FR"/>
        </w:rPr>
        <w:footnoteReference w:id="45"/>
      </w:r>
      <w:r w:rsidRPr="00933ED2">
        <w:rPr>
          <w:noProof/>
          <w:szCs w:val="22"/>
          <w:lang w:eastAsia="fr-FR"/>
        </w:rPr>
        <w:t xml:space="preserve"> and furthering digital training for all legal operators</w:t>
      </w:r>
      <w:r w:rsidRPr="00933ED2">
        <w:rPr>
          <w:noProof/>
          <w:szCs w:val="22"/>
          <w:vertAlign w:val="superscript"/>
          <w:lang w:eastAsia="fr-FR"/>
        </w:rPr>
        <w:footnoteReference w:id="46"/>
      </w:r>
      <w:r w:rsidRPr="00933ED2">
        <w:rPr>
          <w:noProof/>
          <w:szCs w:val="22"/>
          <w:lang w:eastAsia="fr-FR"/>
        </w:rPr>
        <w:t xml:space="preserve">. To address these challenges, Spain has adopted a coordinated national strategy under ‘Justicia 2030’, agreed with the regions. The strategy aims to make justice more accessible and sustainable by transforming the public judicial service through digitalisation, procedural efficiency, and co-governance. </w:t>
      </w:r>
    </w:p>
    <w:p w14:paraId="37D6A61B" w14:textId="7A528B5A" w:rsidR="00933ED2" w:rsidRPr="00933ED2" w:rsidRDefault="00933ED2" w:rsidP="00933ED2">
      <w:pPr>
        <w:rPr>
          <w:bCs/>
          <w:i/>
          <w:iCs/>
          <w:noProof/>
          <w:szCs w:val="24"/>
          <w:lang w:eastAsia="fr-FR"/>
        </w:rPr>
      </w:pPr>
      <w:r w:rsidRPr="00933ED2">
        <w:rPr>
          <w:b/>
          <w:noProof/>
          <w:szCs w:val="24"/>
          <w:lang w:eastAsia="fr-FR"/>
        </w:rPr>
        <w:t xml:space="preserve">After the resignation of the former Prosecutor General, following a Supreme Court ruling </w:t>
      </w:r>
      <w:r w:rsidRPr="00933ED2" w:rsidDel="00246282">
        <w:rPr>
          <w:b/>
          <w:noProof/>
          <w:szCs w:val="24"/>
          <w:lang w:eastAsia="fr-FR"/>
        </w:rPr>
        <w:t>that</w:t>
      </w:r>
      <w:r w:rsidRPr="00933ED2" w:rsidDel="00225251">
        <w:rPr>
          <w:b/>
          <w:noProof/>
          <w:szCs w:val="24"/>
          <w:lang w:eastAsia="fr-FR"/>
        </w:rPr>
        <w:t xml:space="preserve"> found him guilty of leaking confidential information</w:t>
      </w:r>
      <w:r w:rsidRPr="00933ED2">
        <w:rPr>
          <w:b/>
          <w:noProof/>
          <w:szCs w:val="24"/>
          <w:vertAlign w:val="superscript"/>
          <w:lang w:eastAsia="fr-FR"/>
        </w:rPr>
        <w:footnoteReference w:id="47"/>
      </w:r>
      <w:r w:rsidRPr="00933ED2">
        <w:rPr>
          <w:b/>
          <w:noProof/>
          <w:szCs w:val="24"/>
          <w:lang w:eastAsia="fr-FR"/>
        </w:rPr>
        <w:t xml:space="preserve">, a </w:t>
      </w:r>
      <w:r w:rsidRPr="00933ED2">
        <w:rPr>
          <w:b/>
          <w:noProof/>
          <w:lang w:eastAsia="fr-FR"/>
        </w:rPr>
        <w:t>new Prosecutor General was appointed on 9 December 2025</w:t>
      </w:r>
      <w:r w:rsidRPr="00933ED2">
        <w:rPr>
          <w:b/>
          <w:noProof/>
          <w:szCs w:val="24"/>
          <w:vertAlign w:val="superscript"/>
          <w:lang w:eastAsia="fr-FR"/>
        </w:rPr>
        <w:footnoteReference w:id="48"/>
      </w:r>
      <w:r w:rsidRPr="00933ED2">
        <w:rPr>
          <w:b/>
          <w:noProof/>
          <w:lang w:eastAsia="fr-FR"/>
        </w:rPr>
        <w:t>.</w:t>
      </w:r>
      <w:r w:rsidRPr="00933ED2">
        <w:rPr>
          <w:bCs/>
          <w:noProof/>
          <w:lang w:eastAsia="fr-FR"/>
        </w:rPr>
        <w:t xml:space="preserve"> A new Prosecutor General was appointed </w:t>
      </w:r>
      <w:r w:rsidRPr="00933ED2">
        <w:rPr>
          <w:bCs/>
          <w:noProof/>
          <w:szCs w:val="24"/>
          <w:lang w:eastAsia="fr-FR"/>
        </w:rPr>
        <w:t>with the unanimous endorsement of the Council for the Judiciary.</w:t>
      </w:r>
      <w:r w:rsidRPr="00933ED2">
        <w:rPr>
          <w:b/>
          <w:noProof/>
          <w:lang w:eastAsia="fr-FR"/>
        </w:rPr>
        <w:t xml:space="preserve"> </w:t>
      </w:r>
      <w:r w:rsidR="006257B8" w:rsidRPr="00A23863">
        <w:rPr>
          <w:bCs/>
          <w:noProof/>
          <w:lang w:eastAsia="fr-FR"/>
        </w:rPr>
        <w:t>The General Prosecutor</w:t>
      </w:r>
      <w:r w:rsidR="00A23863" w:rsidRPr="00A23863">
        <w:rPr>
          <w:bCs/>
          <w:noProof/>
          <w:lang w:eastAsia="fr-FR"/>
        </w:rPr>
        <w:t>’s Office and the former General Prosecutor have both appealed the Supreme Court’s ruling before the Constitutional Court.</w:t>
      </w:r>
    </w:p>
    <w:p w14:paraId="40AF3572" w14:textId="77777777" w:rsidR="00933ED2" w:rsidRPr="00933ED2" w:rsidRDefault="00933ED2" w:rsidP="00933ED2">
      <w:pPr>
        <w:keepNext/>
        <w:outlineLvl w:val="1"/>
        <w:rPr>
          <w:b/>
          <w:noProof/>
          <w:szCs w:val="24"/>
          <w:lang w:eastAsia="en-GB"/>
        </w:rPr>
      </w:pPr>
      <w:r w:rsidRPr="00933ED2">
        <w:rPr>
          <w:b/>
          <w:noProof/>
          <w:szCs w:val="24"/>
          <w:lang w:eastAsia="en-GB"/>
        </w:rPr>
        <w:t>Efficiency</w:t>
      </w:r>
    </w:p>
    <w:p w14:paraId="1CA235E0" w14:textId="2FB1C6EF" w:rsidR="00933ED2" w:rsidRPr="00933ED2" w:rsidRDefault="00933ED2" w:rsidP="00933ED2">
      <w:pPr>
        <w:rPr>
          <w:noProof/>
          <w:szCs w:val="22"/>
          <w:lang w:val="en-IE" w:eastAsia="fr-FR"/>
        </w:rPr>
      </w:pPr>
      <w:r w:rsidRPr="00933ED2">
        <w:rPr>
          <w:b/>
          <w:bCs/>
          <w:noProof/>
          <w:szCs w:val="22"/>
          <w:lang w:eastAsia="fr-FR"/>
        </w:rPr>
        <w:t>The implementation of the new law on the efficiency of justice</w:t>
      </w:r>
      <w:r w:rsidRPr="00933ED2">
        <w:rPr>
          <w:b/>
          <w:bCs/>
          <w:noProof/>
          <w:szCs w:val="22"/>
          <w:vertAlign w:val="superscript"/>
          <w:lang w:eastAsia="fr-FR"/>
        </w:rPr>
        <w:footnoteReference w:id="49"/>
      </w:r>
      <w:r w:rsidRPr="00933ED2">
        <w:rPr>
          <w:b/>
          <w:bCs/>
          <w:noProof/>
          <w:szCs w:val="22"/>
          <w:lang w:eastAsia="fr-FR"/>
        </w:rPr>
        <w:t xml:space="preserve"> is already showing positive results, though there are challenges linked to resources and consistency of implementation across regions</w:t>
      </w:r>
      <w:r w:rsidRPr="00933ED2">
        <w:rPr>
          <w:noProof/>
          <w:szCs w:val="22"/>
          <w:lang w:eastAsia="fr-FR"/>
        </w:rPr>
        <w:t xml:space="preserve">. </w:t>
      </w:r>
      <w:r w:rsidRPr="00933ED2">
        <w:rPr>
          <w:noProof/>
          <w:szCs w:val="22"/>
          <w:lang w:val="en-IE" w:eastAsia="fr-FR"/>
        </w:rPr>
        <w:t>The last implementation stage of the law</w:t>
      </w:r>
      <w:r w:rsidRPr="00933ED2">
        <w:rPr>
          <w:noProof/>
          <w:szCs w:val="22"/>
          <w:vertAlign w:val="superscript"/>
          <w:lang w:eastAsia="fr-FR"/>
        </w:rPr>
        <w:footnoteReference w:id="50"/>
      </w:r>
      <w:r w:rsidRPr="00933ED2">
        <w:rPr>
          <w:noProof/>
          <w:szCs w:val="22"/>
          <w:lang w:val="en-IE" w:eastAsia="fr-FR"/>
        </w:rPr>
        <w:t xml:space="preserve"> was finalised in December 2025. The reform has already shown early positive results, including a reduction of one-third in new civil litigious cases, linked to the new</w:t>
      </w:r>
      <w:r w:rsidRPr="00933ED2" w:rsidDel="00E749FB">
        <w:rPr>
          <w:noProof/>
          <w:szCs w:val="22"/>
          <w:lang w:val="en-IE" w:eastAsia="fr-FR"/>
        </w:rPr>
        <w:t xml:space="preserve"> </w:t>
      </w:r>
      <w:r w:rsidRPr="00933ED2">
        <w:rPr>
          <w:noProof/>
          <w:szCs w:val="22"/>
          <w:lang w:val="en-IE" w:eastAsia="fr-FR"/>
        </w:rPr>
        <w:t>requirement to resort to alternative dispute resolution mechanisms</w:t>
      </w:r>
      <w:r w:rsidRPr="00933ED2">
        <w:rPr>
          <w:noProof/>
          <w:szCs w:val="22"/>
          <w:vertAlign w:val="superscript"/>
          <w:lang w:val="en-IE" w:eastAsia="fr-FR"/>
        </w:rPr>
        <w:footnoteReference w:id="51"/>
      </w:r>
      <w:r w:rsidRPr="00933ED2">
        <w:rPr>
          <w:noProof/>
          <w:szCs w:val="22"/>
          <w:lang w:val="en-IE" w:eastAsia="fr-FR"/>
        </w:rPr>
        <w:t>. Stakeholders largely share a positive opinion of the reform’s key elements, recognising its potential to improve efficiency of justice by introducing a new organisational structure based on Instance Tribunals, creating common judicial resources, promoting court specialisation, and regulating alternative dispute resolution mechanisms as a procedural requirement for most civil and commercial cases</w:t>
      </w:r>
      <w:r w:rsidRPr="00933ED2">
        <w:rPr>
          <w:noProof/>
          <w:szCs w:val="22"/>
          <w:vertAlign w:val="superscript"/>
          <w:lang w:val="en-IE" w:eastAsia="fr-FR"/>
        </w:rPr>
        <w:footnoteReference w:id="52"/>
      </w:r>
      <w:r w:rsidRPr="00933ED2">
        <w:rPr>
          <w:noProof/>
          <w:szCs w:val="22"/>
          <w:lang w:val="en-IE" w:eastAsia="fr-FR"/>
        </w:rPr>
        <w:t>. However, there are challenges linked to resources to manage the changes in the short implementation periods</w:t>
      </w:r>
      <w:r w:rsidRPr="00933ED2">
        <w:rPr>
          <w:noProof/>
          <w:szCs w:val="22"/>
          <w:vertAlign w:val="superscript"/>
          <w:lang w:val="en-IE" w:eastAsia="fr-FR"/>
        </w:rPr>
        <w:footnoteReference w:id="53"/>
      </w:r>
      <w:r w:rsidR="00C96DE1">
        <w:rPr>
          <w:noProof/>
          <w:szCs w:val="22"/>
          <w:lang w:val="en-IE" w:eastAsia="fr-FR"/>
        </w:rPr>
        <w:t xml:space="preserve">. </w:t>
      </w:r>
      <w:r w:rsidR="00B0600F">
        <w:rPr>
          <w:noProof/>
          <w:szCs w:val="22"/>
          <w:lang w:val="en-IE" w:eastAsia="fr-FR"/>
        </w:rPr>
        <w:t>S</w:t>
      </w:r>
      <w:r w:rsidR="00C96DE1">
        <w:rPr>
          <w:noProof/>
          <w:szCs w:val="22"/>
          <w:lang w:val="en-IE" w:eastAsia="fr-FR"/>
        </w:rPr>
        <w:t>takeholders point to</w:t>
      </w:r>
      <w:r w:rsidRPr="00933ED2">
        <w:rPr>
          <w:noProof/>
          <w:szCs w:val="22"/>
          <w:lang w:val="en-IE" w:eastAsia="fr-FR"/>
        </w:rPr>
        <w:t xml:space="preserve"> limited national level coordination and scarce training leading to inconsistent implementation across regions, particularly in larger municipalities</w:t>
      </w:r>
      <w:r w:rsidRPr="00933ED2">
        <w:rPr>
          <w:noProof/>
          <w:szCs w:val="22"/>
          <w:vertAlign w:val="superscript"/>
          <w:lang w:val="en-IE" w:eastAsia="fr-FR"/>
        </w:rPr>
        <w:footnoteReference w:id="54"/>
      </w:r>
      <w:r w:rsidR="00BC011F">
        <w:rPr>
          <w:noProof/>
          <w:szCs w:val="22"/>
          <w:lang w:val="en-IE" w:eastAsia="fr-FR"/>
        </w:rPr>
        <w:t xml:space="preserve">. The Government has </w:t>
      </w:r>
      <w:r w:rsidR="001670E7">
        <w:rPr>
          <w:noProof/>
          <w:szCs w:val="22"/>
          <w:lang w:val="en-IE" w:eastAsia="fr-FR"/>
        </w:rPr>
        <w:t xml:space="preserve">carried out </w:t>
      </w:r>
      <w:r w:rsidR="00F75A5D">
        <w:rPr>
          <w:noProof/>
          <w:szCs w:val="22"/>
          <w:lang w:val="en-IE" w:eastAsia="fr-FR"/>
        </w:rPr>
        <w:t xml:space="preserve">a number of </w:t>
      </w:r>
      <w:r w:rsidR="001670E7">
        <w:rPr>
          <w:noProof/>
          <w:szCs w:val="22"/>
          <w:lang w:val="en-IE" w:eastAsia="fr-FR"/>
        </w:rPr>
        <w:t xml:space="preserve">online, in-person and videoconference training </w:t>
      </w:r>
      <w:r w:rsidR="001B1285">
        <w:rPr>
          <w:noProof/>
          <w:szCs w:val="22"/>
          <w:lang w:val="en-IE" w:eastAsia="fr-FR"/>
        </w:rPr>
        <w:t>sessions and coordination initiatives</w:t>
      </w:r>
      <w:r w:rsidR="00F25BFE">
        <w:rPr>
          <w:noProof/>
          <w:szCs w:val="22"/>
          <w:lang w:val="en-IE" w:eastAsia="fr-FR"/>
        </w:rPr>
        <w:t xml:space="preserve"> </w:t>
      </w:r>
      <w:r w:rsidR="001C0FB6">
        <w:rPr>
          <w:noProof/>
          <w:szCs w:val="22"/>
          <w:lang w:val="en-IE" w:eastAsia="fr-FR"/>
        </w:rPr>
        <w:t>on the new organisation model</w:t>
      </w:r>
      <w:r w:rsidR="001C0FB6">
        <w:rPr>
          <w:rStyle w:val="FootnoteReference"/>
          <w:noProof/>
          <w:szCs w:val="22"/>
          <w:lang w:val="en-IE" w:eastAsia="fr-FR"/>
        </w:rPr>
        <w:footnoteReference w:id="55"/>
      </w:r>
      <w:r w:rsidR="001C0FB6">
        <w:rPr>
          <w:noProof/>
          <w:szCs w:val="22"/>
          <w:lang w:val="en-IE" w:eastAsia="fr-FR"/>
        </w:rPr>
        <w:t xml:space="preserve">. </w:t>
      </w:r>
      <w:r w:rsidRPr="00933ED2">
        <w:rPr>
          <w:noProof/>
          <w:szCs w:val="22"/>
          <w:lang w:val="en-IE" w:eastAsia="fr-FR"/>
        </w:rPr>
        <w:t>Some stakeholders signal that the application of alternative dispute resolution mechanisms adds procedural steps that increase costs of participating in judicial proceedings for individuals and businesses</w:t>
      </w:r>
      <w:r w:rsidRPr="00933ED2">
        <w:rPr>
          <w:noProof/>
          <w:szCs w:val="22"/>
          <w:vertAlign w:val="superscript"/>
          <w:lang w:val="en-IE" w:eastAsia="fr-FR"/>
        </w:rPr>
        <w:footnoteReference w:id="56"/>
      </w:r>
      <w:r w:rsidRPr="00933ED2">
        <w:rPr>
          <w:noProof/>
          <w:szCs w:val="22"/>
          <w:lang w:val="en-IE" w:eastAsia="fr-FR"/>
        </w:rPr>
        <w:t>. To reduce legal uncertainty for legal practitioners, a joint initiative of the General Council of Lawyers and the Council for the Judiciary seeks to compile the criteria to apply the new law on efficiency of all Spanish courts, providing concrete guidance to legal practitioners</w:t>
      </w:r>
      <w:r w:rsidRPr="00933ED2">
        <w:rPr>
          <w:noProof/>
          <w:szCs w:val="22"/>
          <w:vertAlign w:val="superscript"/>
          <w:lang w:val="en-IE" w:eastAsia="fr-FR"/>
        </w:rPr>
        <w:footnoteReference w:id="57"/>
      </w:r>
      <w:r w:rsidRPr="00933ED2">
        <w:rPr>
          <w:noProof/>
          <w:szCs w:val="22"/>
          <w:lang w:val="en-IE" w:eastAsia="fr-FR"/>
        </w:rPr>
        <w:t>.</w:t>
      </w:r>
    </w:p>
    <w:p w14:paraId="15F99597" w14:textId="4BAEBD32" w:rsidR="00933ED2" w:rsidRPr="00933ED2" w:rsidRDefault="00933ED2" w:rsidP="00933ED2">
      <w:pPr>
        <w:rPr>
          <w:rFonts w:eastAsiaTheme="minorHAnsi" w:cstheme="minorBidi"/>
          <w:noProof/>
          <w:szCs w:val="22"/>
          <w:lang w:val="en-IE" w:eastAsia="en-US"/>
        </w:rPr>
      </w:pPr>
      <w:r w:rsidRPr="00933ED2">
        <w:rPr>
          <w:b/>
          <w:bCs/>
          <w:noProof/>
          <w:szCs w:val="22"/>
          <w:lang w:eastAsia="fr-FR"/>
        </w:rPr>
        <w:t>The length of judicial proceedings remains a challenge, particularly in civil, commercial and labour cases</w:t>
      </w:r>
      <w:r w:rsidRPr="00933ED2">
        <w:rPr>
          <w:noProof/>
          <w:szCs w:val="22"/>
          <w:lang w:eastAsia="fr-FR"/>
        </w:rPr>
        <w:t xml:space="preserve">. The </w:t>
      </w:r>
      <w:r w:rsidRPr="00933ED2">
        <w:rPr>
          <w:rFonts w:eastAsiaTheme="minorHAnsi" w:cstheme="minorBidi"/>
          <w:noProof/>
          <w:szCs w:val="22"/>
          <w:lang w:eastAsia="en-US"/>
        </w:rPr>
        <w:t>disposition time for litigious civil and commercial cases at first instance decreased slightly from 444 days in 2023 to 423 days in 2024</w:t>
      </w:r>
      <w:r w:rsidRPr="00933ED2">
        <w:rPr>
          <w:rFonts w:eastAsiaTheme="minorHAnsi" w:cstheme="minorBidi"/>
          <w:noProof/>
          <w:szCs w:val="22"/>
          <w:vertAlign w:val="superscript"/>
          <w:lang w:eastAsia="en-US"/>
        </w:rPr>
        <w:footnoteReference w:id="58"/>
      </w:r>
      <w:r w:rsidRPr="00933ED2">
        <w:rPr>
          <w:rFonts w:eastAsiaTheme="minorHAnsi" w:cstheme="minorBidi"/>
          <w:noProof/>
          <w:szCs w:val="22"/>
          <w:lang w:eastAsia="en-US"/>
        </w:rPr>
        <w:t xml:space="preserve">. Efficiency at higher instances showed uneven progress; the disposition time for these cases before the Supreme Court further increased </w:t>
      </w:r>
      <w:r w:rsidRPr="00933ED2">
        <w:rPr>
          <w:rFonts w:eastAsiaTheme="minorHAnsi" w:cstheme="minorBidi"/>
          <w:noProof/>
          <w:szCs w:val="22"/>
          <w:lang w:val="en-US" w:eastAsia="en-US"/>
        </w:rPr>
        <w:t>f</w:t>
      </w:r>
      <w:r w:rsidRPr="00933ED2">
        <w:rPr>
          <w:rFonts w:eastAsiaTheme="minorHAnsi" w:cstheme="minorBidi"/>
          <w:noProof/>
          <w:szCs w:val="22"/>
          <w:lang w:eastAsia="en-US"/>
        </w:rPr>
        <w:t>rom 691 in 2023 to 750 days in 2024, nearly twice the duration at first instance</w:t>
      </w:r>
      <w:r w:rsidRPr="00933ED2">
        <w:rPr>
          <w:rFonts w:eastAsiaTheme="minorHAnsi" w:cstheme="minorBidi"/>
          <w:noProof/>
          <w:szCs w:val="22"/>
          <w:vertAlign w:val="superscript"/>
          <w:lang w:eastAsia="en-US"/>
        </w:rPr>
        <w:footnoteReference w:id="59"/>
      </w:r>
      <w:r w:rsidRPr="00933ED2">
        <w:rPr>
          <w:rFonts w:eastAsiaTheme="minorHAnsi" w:cstheme="minorBidi"/>
          <w:noProof/>
          <w:szCs w:val="22"/>
          <w:lang w:eastAsia="en-US"/>
        </w:rPr>
        <w:t xml:space="preserve">. </w:t>
      </w:r>
      <w:r w:rsidRPr="00933ED2">
        <w:rPr>
          <w:rFonts w:eastAsiaTheme="minorHAnsi" w:cstheme="minorBidi"/>
          <w:noProof/>
          <w:szCs w:val="22"/>
          <w:lang w:val="en-IE" w:eastAsia="en-US"/>
        </w:rPr>
        <w:t>The backlog of pending cases continued to grow, doubling from 2016 to 2024 and reaching 5.9 per 100 inhabitants</w:t>
      </w:r>
      <w:r w:rsidRPr="00933ED2">
        <w:rPr>
          <w:rFonts w:eastAsiaTheme="minorHAnsi" w:cstheme="minorBidi"/>
          <w:noProof/>
          <w:szCs w:val="22"/>
          <w:vertAlign w:val="superscript"/>
          <w:lang w:eastAsia="en-US"/>
        </w:rPr>
        <w:footnoteReference w:id="60"/>
      </w:r>
      <w:r w:rsidRPr="00933ED2">
        <w:rPr>
          <w:rFonts w:eastAsiaTheme="minorHAnsi" w:cstheme="minorBidi"/>
          <w:noProof/>
          <w:szCs w:val="22"/>
          <w:lang w:val="en-IE" w:eastAsia="en-US"/>
        </w:rPr>
        <w:t>, with a marked rise in pending litigious civil and commercial matters</w:t>
      </w:r>
      <w:r w:rsidRPr="00933ED2">
        <w:rPr>
          <w:rFonts w:eastAsiaTheme="minorHAnsi" w:cstheme="minorBidi"/>
          <w:noProof/>
          <w:szCs w:val="22"/>
          <w:vertAlign w:val="superscript"/>
          <w:lang w:eastAsia="en-US"/>
        </w:rPr>
        <w:footnoteReference w:id="61"/>
      </w:r>
      <w:r w:rsidRPr="00933ED2">
        <w:rPr>
          <w:rFonts w:eastAsiaTheme="minorHAnsi" w:cstheme="minorBidi"/>
          <w:noProof/>
          <w:szCs w:val="22"/>
          <w:lang w:val="en-IE" w:eastAsia="en-US"/>
        </w:rPr>
        <w:t>. Collective redress actions, particularly concerning consumer and competition cases, have posed additional strains on courts</w:t>
      </w:r>
      <w:r w:rsidRPr="00933ED2">
        <w:rPr>
          <w:rFonts w:eastAsiaTheme="minorHAnsi" w:cstheme="minorBidi"/>
          <w:noProof/>
          <w:szCs w:val="22"/>
          <w:vertAlign w:val="superscript"/>
          <w:lang w:eastAsia="en-US"/>
        </w:rPr>
        <w:footnoteReference w:id="62"/>
      </w:r>
      <w:r w:rsidRPr="00933ED2">
        <w:rPr>
          <w:rFonts w:eastAsiaTheme="minorHAnsi" w:cstheme="minorBidi"/>
          <w:noProof/>
          <w:szCs w:val="22"/>
          <w:lang w:val="en-IE" w:eastAsia="en-US"/>
        </w:rPr>
        <w:t xml:space="preserve">. </w:t>
      </w:r>
      <w:r w:rsidRPr="00933ED2">
        <w:rPr>
          <w:rFonts w:eastAsiaTheme="minorHAnsi" w:cstheme="minorBidi"/>
          <w:noProof/>
          <w:szCs w:val="22"/>
          <w:lang w:eastAsia="en-US"/>
        </w:rPr>
        <w:t>The Supreme Court reports a shortage of magistrates in its civil and labour chambers</w:t>
      </w:r>
      <w:r w:rsidRPr="00933ED2">
        <w:rPr>
          <w:rFonts w:eastAsiaTheme="minorHAnsi" w:cstheme="minorBidi"/>
          <w:noProof/>
          <w:szCs w:val="22"/>
          <w:vertAlign w:val="superscript"/>
          <w:lang w:eastAsia="en-US"/>
        </w:rPr>
        <w:footnoteReference w:id="63"/>
      </w:r>
      <w:r w:rsidRPr="00933ED2">
        <w:rPr>
          <w:rFonts w:eastAsiaTheme="minorHAnsi" w:cstheme="minorBidi"/>
          <w:noProof/>
          <w:szCs w:val="22"/>
          <w:lang w:eastAsia="en-US"/>
        </w:rPr>
        <w:t>. Labour courts face a significant structural backlog and a high workload</w:t>
      </w:r>
      <w:r w:rsidRPr="00933ED2">
        <w:rPr>
          <w:rFonts w:eastAsiaTheme="minorHAnsi" w:cstheme="minorBidi"/>
          <w:noProof/>
          <w:szCs w:val="22"/>
          <w:vertAlign w:val="superscript"/>
          <w:lang w:eastAsia="en-US"/>
        </w:rPr>
        <w:footnoteReference w:id="64"/>
      </w:r>
      <w:r w:rsidRPr="00933ED2">
        <w:rPr>
          <w:rFonts w:eastAsiaTheme="minorHAnsi" w:cstheme="minorBidi"/>
          <w:noProof/>
          <w:szCs w:val="22"/>
          <w:lang w:eastAsia="en-US"/>
        </w:rPr>
        <w:t>. According to stakeholders, this is resulting in delays that generate legal uncertainty for companies</w:t>
      </w:r>
      <w:r w:rsidRPr="00933ED2">
        <w:rPr>
          <w:rFonts w:eastAsiaTheme="minorHAnsi" w:cstheme="minorBidi"/>
          <w:noProof/>
          <w:szCs w:val="22"/>
          <w:vertAlign w:val="superscript"/>
          <w:lang w:eastAsia="en-US"/>
        </w:rPr>
        <w:footnoteReference w:id="65"/>
      </w:r>
      <w:r w:rsidRPr="00933ED2">
        <w:rPr>
          <w:rFonts w:eastAsiaTheme="minorHAnsi" w:cstheme="minorBidi"/>
          <w:noProof/>
          <w:szCs w:val="22"/>
          <w:lang w:eastAsia="en-US"/>
        </w:rPr>
        <w:t xml:space="preserve"> and hamper enforcement of workers’ rights</w:t>
      </w:r>
      <w:r w:rsidRPr="00933ED2">
        <w:rPr>
          <w:rFonts w:eastAsiaTheme="minorHAnsi" w:cstheme="minorBidi"/>
          <w:noProof/>
          <w:szCs w:val="22"/>
          <w:vertAlign w:val="superscript"/>
          <w:lang w:eastAsia="en-US"/>
        </w:rPr>
        <w:footnoteReference w:id="66"/>
      </w:r>
      <w:r w:rsidRPr="00933ED2">
        <w:rPr>
          <w:rFonts w:eastAsiaTheme="minorHAnsi" w:cstheme="minorBidi"/>
          <w:noProof/>
          <w:szCs w:val="22"/>
          <w:lang w:eastAsia="en-US"/>
        </w:rPr>
        <w:t>.</w:t>
      </w:r>
    </w:p>
    <w:p w14:paraId="22EC72B6" w14:textId="0E2F52D9" w:rsidR="00933ED2" w:rsidRPr="001877F5" w:rsidRDefault="00933ED2" w:rsidP="001877F5">
      <w:pPr>
        <w:pStyle w:val="ListParagraph"/>
        <w:keepNext/>
        <w:numPr>
          <w:ilvl w:val="0"/>
          <w:numId w:val="39"/>
        </w:numPr>
        <w:outlineLvl w:val="0"/>
        <w:rPr>
          <w:b/>
          <w:smallCaps/>
          <w:noProof/>
          <w:szCs w:val="24"/>
          <w:u w:val="single"/>
          <w:lang w:eastAsia="fr-FR"/>
        </w:rPr>
      </w:pPr>
      <w:r w:rsidRPr="001877F5">
        <w:rPr>
          <w:b/>
          <w:smallCaps/>
          <w:noProof/>
          <w:szCs w:val="24"/>
          <w:u w:val="single"/>
          <w:lang w:eastAsia="fr-FR"/>
        </w:rPr>
        <w:t>Anti-Corruption Framework</w:t>
      </w:r>
      <w:r w:rsidRPr="001877F5" w:rsidDel="00D67844">
        <w:rPr>
          <w:b/>
          <w:smallCaps/>
          <w:noProof/>
          <w:szCs w:val="24"/>
          <w:u w:val="single"/>
          <w:lang w:eastAsia="fr-FR"/>
        </w:rPr>
        <w:t xml:space="preserve"> </w:t>
      </w:r>
    </w:p>
    <w:p w14:paraId="63F97413" w14:textId="6628BAEB" w:rsidR="00933ED2" w:rsidRPr="00933ED2" w:rsidRDefault="35B9E9DC" w:rsidP="24E23D4A">
      <w:pPr>
        <w:rPr>
          <w:rFonts w:eastAsia="Calibri"/>
          <w:i/>
          <w:iCs/>
          <w:noProof/>
          <w:lang w:eastAsia="en-GB"/>
        </w:rPr>
      </w:pPr>
      <w:bookmarkStart w:id="3" w:name="_Hlk223530732"/>
      <w:r w:rsidRPr="24E23D4A">
        <w:rPr>
          <w:rFonts w:eastAsia="Calibri"/>
          <w:b/>
          <w:bCs/>
          <w:noProof/>
          <w:lang w:eastAsia="en-US"/>
        </w:rPr>
        <w:t xml:space="preserve">The perception among citizens, experts and business </w:t>
      </w:r>
      <w:r w:rsidRPr="24E23D4A" w:rsidDel="00A55825">
        <w:rPr>
          <w:rFonts w:eastAsia="Calibri"/>
          <w:b/>
          <w:bCs/>
          <w:noProof/>
          <w:lang w:eastAsia="en-US"/>
        </w:rPr>
        <w:t>executives</w:t>
      </w:r>
      <w:r w:rsidRPr="24E23D4A">
        <w:rPr>
          <w:rFonts w:eastAsia="Calibri"/>
          <w:b/>
          <w:bCs/>
          <w:noProof/>
          <w:lang w:eastAsia="en-US"/>
        </w:rPr>
        <w:t xml:space="preserve"> is that the level of corruption in the public sector remains relatively high.</w:t>
      </w:r>
      <w:r w:rsidRPr="24E23D4A">
        <w:rPr>
          <w:rFonts w:eastAsia="Calibri"/>
          <w:noProof/>
          <w:lang w:eastAsia="en-US"/>
        </w:rPr>
        <w:t xml:space="preserve"> In the 2025 Corruption Perceptions Index by Transparency International, Spain scores 55/100 and ranks 17</w:t>
      </w:r>
      <w:r w:rsidRPr="24E23D4A">
        <w:rPr>
          <w:rFonts w:eastAsia="Calibri"/>
          <w:noProof/>
          <w:vertAlign w:val="superscript"/>
          <w:lang w:eastAsia="en-US"/>
        </w:rPr>
        <w:t>th</w:t>
      </w:r>
      <w:r w:rsidRPr="24E23D4A">
        <w:rPr>
          <w:rFonts w:eastAsia="Calibri"/>
          <w:noProof/>
          <w:lang w:eastAsia="en-US"/>
        </w:rPr>
        <w:t xml:space="preserve"> in the European Union and 49</w:t>
      </w:r>
      <w:r w:rsidRPr="24E23D4A">
        <w:rPr>
          <w:rFonts w:eastAsia="Calibri"/>
          <w:noProof/>
          <w:vertAlign w:val="superscript"/>
          <w:lang w:eastAsia="en-US"/>
        </w:rPr>
        <w:t>th</w:t>
      </w:r>
      <w:r w:rsidRPr="24E23D4A">
        <w:rPr>
          <w:rFonts w:eastAsia="Calibri"/>
          <w:noProof/>
          <w:lang w:eastAsia="en-US"/>
        </w:rPr>
        <w:t xml:space="preserve"> globally</w:t>
      </w:r>
      <w:r w:rsidR="00933ED2" w:rsidRPr="24E23D4A">
        <w:rPr>
          <w:rFonts w:eastAsia="Calibri"/>
          <w:noProof/>
          <w:vertAlign w:val="superscript"/>
          <w:lang w:eastAsia="en-US"/>
        </w:rPr>
        <w:footnoteReference w:id="67"/>
      </w:r>
      <w:r w:rsidRPr="24E23D4A">
        <w:rPr>
          <w:rFonts w:eastAsia="Calibri"/>
          <w:noProof/>
          <w:lang w:eastAsia="en-US"/>
        </w:rPr>
        <w:t xml:space="preserve">. This perception has significantly </w:t>
      </w:r>
      <w:r w:rsidR="007965E0">
        <w:rPr>
          <w:rFonts w:eastAsia="Calibri"/>
          <w:noProof/>
          <w:lang w:eastAsia="en-US"/>
        </w:rPr>
        <w:t>increased</w:t>
      </w:r>
      <w:r w:rsidR="007965E0" w:rsidRPr="24E23D4A">
        <w:rPr>
          <w:rFonts w:eastAsia="Calibri"/>
          <w:noProof/>
          <w:lang w:eastAsia="en-US"/>
        </w:rPr>
        <w:t xml:space="preserve"> </w:t>
      </w:r>
      <w:r w:rsidRPr="24E23D4A">
        <w:rPr>
          <w:rFonts w:eastAsia="Calibri"/>
          <w:noProof/>
          <w:lang w:eastAsia="en-US"/>
        </w:rPr>
        <w:t>over the past five years</w:t>
      </w:r>
      <w:r w:rsidR="00933ED2" w:rsidRPr="24E23D4A">
        <w:rPr>
          <w:rFonts w:eastAsia="Calibri"/>
          <w:noProof/>
          <w:vertAlign w:val="superscript"/>
          <w:lang w:eastAsia="en-US"/>
        </w:rPr>
        <w:footnoteReference w:id="68"/>
      </w:r>
      <w:r w:rsidRPr="24E23D4A">
        <w:rPr>
          <w:rFonts w:eastAsia="Calibri"/>
          <w:noProof/>
          <w:lang w:eastAsia="en-US"/>
        </w:rPr>
        <w:t xml:space="preserve">. </w:t>
      </w:r>
      <w:r w:rsidRPr="24E23D4A">
        <w:rPr>
          <w:rFonts w:eastAsia="Calibri"/>
          <w:noProof/>
          <w:lang w:eastAsia="en-GB"/>
        </w:rPr>
        <w:t>The 2026 Special Eurobarometer on Corruption shows that 92% of respondents consider corruption widespread in their country (EU average 71%) and 53% of respondents feel personally affected by corruption in their daily lives (EU average 30%). As regards businesses, 85% of companies consider that corruption is widespread (EU average 65%) and 62% consider that that corruption is a problem when doing business (EU average 37%). Furthermore, 31% of respondents</w:t>
      </w:r>
      <w:r w:rsidRPr="24E23D4A">
        <w:rPr>
          <w:rFonts w:eastAsia="Calibri"/>
          <w:b/>
          <w:bCs/>
          <w:noProof/>
          <w:lang w:eastAsia="en-GB"/>
        </w:rPr>
        <w:t xml:space="preserve"> </w:t>
      </w:r>
      <w:r w:rsidRPr="24E23D4A">
        <w:rPr>
          <w:rFonts w:eastAsia="Calibri"/>
          <w:noProof/>
          <w:lang w:eastAsia="en-GB"/>
        </w:rPr>
        <w:t xml:space="preserve">find that there are enough successful prosecutions to deter people from corrupt practices (EU average 38%), while </w:t>
      </w:r>
      <w:r w:rsidR="2732FBDA" w:rsidRPr="24E23D4A">
        <w:rPr>
          <w:rFonts w:eastAsia="Calibri"/>
          <w:noProof/>
          <w:lang w:eastAsia="en-GB"/>
        </w:rPr>
        <w:t>18</w:t>
      </w:r>
      <w:r w:rsidRPr="24E23D4A">
        <w:rPr>
          <w:rFonts w:eastAsia="Calibri"/>
          <w:noProof/>
          <w:lang w:eastAsia="en-GB"/>
        </w:rPr>
        <w:t xml:space="preserve">% of companies believe that people and businesses caught for bribing a senior official are appropriately punished (EU average </w:t>
      </w:r>
      <w:r w:rsidR="2732FBDA" w:rsidRPr="24E23D4A">
        <w:rPr>
          <w:rFonts w:eastAsia="Calibri"/>
          <w:noProof/>
          <w:lang w:eastAsia="en-GB"/>
        </w:rPr>
        <w:t>31</w:t>
      </w:r>
      <w:r w:rsidRPr="24E23D4A">
        <w:rPr>
          <w:rFonts w:eastAsia="Calibri"/>
          <w:noProof/>
          <w:lang w:eastAsia="en-GB"/>
        </w:rPr>
        <w:t>%)</w:t>
      </w:r>
      <w:r w:rsidR="00933ED2" w:rsidRPr="24E23D4A">
        <w:rPr>
          <w:rFonts w:eastAsia="Calibri"/>
          <w:noProof/>
          <w:vertAlign w:val="superscript"/>
          <w:lang w:eastAsia="en-GB"/>
        </w:rPr>
        <w:footnoteReference w:id="69"/>
      </w:r>
      <w:r w:rsidRPr="24E23D4A">
        <w:rPr>
          <w:rFonts w:eastAsia="Calibri"/>
          <w:noProof/>
          <w:lang w:eastAsia="en-GB"/>
        </w:rPr>
        <w:t xml:space="preserve">. </w:t>
      </w:r>
    </w:p>
    <w:p w14:paraId="73E6F370" w14:textId="77777777" w:rsidR="00933ED2" w:rsidRPr="00933ED2" w:rsidRDefault="00933ED2" w:rsidP="00933ED2">
      <w:pPr>
        <w:rPr>
          <w:rFonts w:eastAsia="Calibri"/>
          <w:b/>
          <w:noProof/>
          <w:szCs w:val="22"/>
          <w:lang w:val="en-US" w:eastAsia="en-US"/>
        </w:rPr>
      </w:pPr>
      <w:bookmarkStart w:id="4" w:name="_Hlk223020349"/>
      <w:r w:rsidRPr="00933ED2">
        <w:rPr>
          <w:rFonts w:eastAsia="Calibri"/>
          <w:b/>
          <w:bCs/>
          <w:noProof/>
          <w:szCs w:val="22"/>
          <w:lang w:val="en-US" w:eastAsia="en-US"/>
        </w:rPr>
        <w:t xml:space="preserve">The Government has </w:t>
      </w:r>
      <w:bookmarkStart w:id="5" w:name="_Hlk224213322"/>
      <w:r w:rsidRPr="00933ED2">
        <w:rPr>
          <w:rFonts w:eastAsia="Calibri"/>
          <w:b/>
          <w:bCs/>
          <w:noProof/>
          <w:szCs w:val="22"/>
          <w:lang w:val="en-US" w:eastAsia="en-US"/>
        </w:rPr>
        <w:t>adopted a State Anti-Corruption Plan, as well as</w:t>
      </w:r>
      <w:r w:rsidRPr="00933ED2">
        <w:rPr>
          <w:rFonts w:eastAsia="Calibri"/>
          <w:noProof/>
          <w:szCs w:val="22"/>
          <w:lang w:val="en-US" w:eastAsia="en-US"/>
        </w:rPr>
        <w:t xml:space="preserve"> </w:t>
      </w:r>
      <w:r w:rsidRPr="00933ED2">
        <w:rPr>
          <w:rFonts w:eastAsia="Calibri"/>
          <w:b/>
          <w:bCs/>
          <w:noProof/>
          <w:szCs w:val="22"/>
          <w:lang w:val="en-US" w:eastAsia="en-US"/>
        </w:rPr>
        <w:t xml:space="preserve">several key draft laws and strategic documents. </w:t>
      </w:r>
      <w:bookmarkEnd w:id="4"/>
      <w:r w:rsidRPr="00933ED2">
        <w:rPr>
          <w:rFonts w:eastAsia="Calibri"/>
          <w:noProof/>
          <w:szCs w:val="22"/>
          <w:lang w:val="en-US" w:eastAsia="en-US"/>
        </w:rPr>
        <w:t>On 26 August 2025, the Council of Ministers approved the</w:t>
      </w:r>
      <w:r w:rsidRPr="00933ED2" w:rsidDel="00AC63A8">
        <w:rPr>
          <w:rFonts w:eastAsia="Calibri"/>
          <w:noProof/>
          <w:szCs w:val="22"/>
          <w:lang w:val="en-US" w:eastAsia="en-US"/>
        </w:rPr>
        <w:t xml:space="preserve"> </w:t>
      </w:r>
      <w:r w:rsidRPr="00933ED2" w:rsidDel="00C40DD5">
        <w:rPr>
          <w:rFonts w:eastAsia="Calibri"/>
          <w:noProof/>
          <w:szCs w:val="22"/>
          <w:lang w:val="en-US" w:eastAsia="en-US"/>
        </w:rPr>
        <w:t>State</w:t>
      </w:r>
      <w:r w:rsidRPr="00933ED2">
        <w:rPr>
          <w:rFonts w:eastAsia="Calibri"/>
          <w:noProof/>
          <w:szCs w:val="22"/>
          <w:lang w:val="en-US" w:eastAsia="en-US"/>
        </w:rPr>
        <w:t xml:space="preserve"> Anti-Corruption Plan and created an inter-ministerial commission for the promotion of the Plan</w:t>
      </w:r>
      <w:r w:rsidRPr="00933ED2">
        <w:rPr>
          <w:rFonts w:eastAsia="Calibri"/>
          <w:noProof/>
          <w:szCs w:val="22"/>
          <w:vertAlign w:val="superscript"/>
          <w:lang w:val="en-US" w:eastAsia="en-US"/>
        </w:rPr>
        <w:footnoteReference w:id="70"/>
      </w:r>
      <w:r w:rsidRPr="00933ED2">
        <w:rPr>
          <w:rFonts w:eastAsia="Calibri"/>
          <w:noProof/>
          <w:szCs w:val="22"/>
          <w:lang w:val="en-US" w:eastAsia="en-US"/>
        </w:rPr>
        <w:t>.</w:t>
      </w:r>
      <w:r w:rsidRPr="00933ED2">
        <w:rPr>
          <w:rFonts w:eastAsia="Calibri"/>
          <w:b/>
          <w:bCs/>
          <w:noProof/>
          <w:szCs w:val="22"/>
          <w:lang w:val="en-US" w:eastAsia="en-US"/>
        </w:rPr>
        <w:t xml:space="preserve"> </w:t>
      </w:r>
      <w:r w:rsidRPr="00933ED2">
        <w:rPr>
          <w:rFonts w:eastAsia="Calibri"/>
          <w:noProof/>
          <w:szCs w:val="22"/>
          <w:lang w:val="en-US" w:eastAsia="en-US"/>
        </w:rPr>
        <w:t>The Plan is structured around five axes of legislative intervention: risk prevention and strengthened controls, effective protection of whistleblowers, investigation and prosecution, asset recovery, and awareness raising</w:t>
      </w:r>
      <w:r w:rsidRPr="00933ED2">
        <w:rPr>
          <w:rFonts w:eastAsia="Calibri"/>
          <w:noProof/>
          <w:szCs w:val="22"/>
          <w:vertAlign w:val="superscript"/>
          <w:lang w:val="en-US" w:eastAsia="en-US"/>
        </w:rPr>
        <w:footnoteReference w:id="71"/>
      </w:r>
      <w:r w:rsidRPr="00933ED2">
        <w:rPr>
          <w:rFonts w:eastAsia="Calibri"/>
          <w:noProof/>
          <w:szCs w:val="22"/>
          <w:lang w:val="en-US" w:eastAsia="en-US"/>
        </w:rPr>
        <w:t xml:space="preserve">. The Plan also provides for the </w:t>
      </w:r>
      <w:bookmarkStart w:id="6" w:name="_Hlk223430302"/>
      <w:r w:rsidRPr="00933ED2">
        <w:rPr>
          <w:rFonts w:eastAsia="Calibri"/>
          <w:noProof/>
          <w:szCs w:val="22"/>
          <w:lang w:val="en-US" w:eastAsia="en-US"/>
        </w:rPr>
        <w:t xml:space="preserve">creation of an Independent Authority for Public Integrity </w:t>
      </w:r>
      <w:bookmarkEnd w:id="6"/>
      <w:r w:rsidRPr="00933ED2">
        <w:rPr>
          <w:rFonts w:eastAsia="Calibri"/>
          <w:noProof/>
          <w:szCs w:val="22"/>
          <w:lang w:val="en-US" w:eastAsia="en-US"/>
        </w:rPr>
        <w:t>as the central body for the prevention, supervision and prosecution of corruption</w:t>
      </w:r>
      <w:r w:rsidRPr="00933ED2">
        <w:rPr>
          <w:rFonts w:eastAsia="Calibri"/>
          <w:noProof/>
          <w:szCs w:val="22"/>
          <w:vertAlign w:val="superscript"/>
          <w:lang w:val="en-US" w:eastAsia="en-US"/>
        </w:rPr>
        <w:footnoteReference w:id="72"/>
      </w:r>
      <w:r w:rsidRPr="00933ED2">
        <w:rPr>
          <w:rFonts w:eastAsia="Calibri"/>
          <w:noProof/>
          <w:szCs w:val="22"/>
          <w:lang w:val="en-US" w:eastAsia="en-US"/>
        </w:rPr>
        <w:t xml:space="preserve">. A concrete measure stemming from the State Plan is the preliminary </w:t>
      </w:r>
      <w:bookmarkStart w:id="7" w:name="_Hlk223430290"/>
      <w:r w:rsidRPr="00933ED2">
        <w:rPr>
          <w:rFonts w:eastAsia="Calibri"/>
          <w:noProof/>
          <w:szCs w:val="22"/>
          <w:lang w:val="en-US" w:eastAsia="en-US"/>
        </w:rPr>
        <w:t>draft Open Administration Law</w:t>
      </w:r>
      <w:bookmarkEnd w:id="7"/>
      <w:r w:rsidRPr="00933ED2">
        <w:rPr>
          <w:rFonts w:eastAsia="Calibri"/>
          <w:noProof/>
          <w:szCs w:val="22"/>
          <w:vertAlign w:val="superscript"/>
          <w:lang w:val="en-US" w:eastAsia="en-US"/>
        </w:rPr>
        <w:footnoteReference w:id="73"/>
      </w:r>
      <w:r w:rsidRPr="00933ED2">
        <w:rPr>
          <w:rFonts w:eastAsia="Calibri"/>
          <w:noProof/>
          <w:szCs w:val="22"/>
          <w:lang w:val="en-US" w:eastAsia="en-US"/>
        </w:rPr>
        <w:t>, approved by the Council of Ministers on 7 October 2025. It aims to advance transparency, integrity and citizen participation in the fight against corruption, including through measures such as integrity pacts in public procurement and citizen audits</w:t>
      </w:r>
      <w:r w:rsidRPr="00933ED2">
        <w:rPr>
          <w:rFonts w:eastAsia="Calibri"/>
          <w:noProof/>
          <w:szCs w:val="22"/>
          <w:vertAlign w:val="superscript"/>
          <w:lang w:val="en-US" w:eastAsia="en-US"/>
        </w:rPr>
        <w:footnoteReference w:id="74"/>
      </w:r>
      <w:r w:rsidRPr="00933ED2">
        <w:rPr>
          <w:rFonts w:eastAsia="Calibri"/>
          <w:noProof/>
          <w:szCs w:val="22"/>
          <w:lang w:val="en-US" w:eastAsia="en-US"/>
        </w:rPr>
        <w:t xml:space="preserve">. In addition to the State Anti-Corruption Plan, the </w:t>
      </w:r>
      <w:bookmarkStart w:id="8" w:name="_Hlk223430317"/>
      <w:r w:rsidRPr="00933ED2">
        <w:rPr>
          <w:rFonts w:eastAsia="Calibri"/>
          <w:noProof/>
          <w:szCs w:val="22"/>
          <w:lang w:val="en-US" w:eastAsia="en-US"/>
        </w:rPr>
        <w:t>Fifth Open Government Plan (2025-2029)</w:t>
      </w:r>
      <w:bookmarkEnd w:id="8"/>
      <w:r w:rsidRPr="00933ED2">
        <w:rPr>
          <w:rFonts w:eastAsia="Calibri"/>
          <w:noProof/>
          <w:szCs w:val="22"/>
          <w:lang w:val="en-US" w:eastAsia="en-US"/>
        </w:rPr>
        <w:t xml:space="preserve"> was approved</w:t>
      </w:r>
      <w:r w:rsidRPr="00933ED2">
        <w:rPr>
          <w:rFonts w:eastAsia="Calibri"/>
          <w:noProof/>
          <w:szCs w:val="22"/>
          <w:vertAlign w:val="superscript"/>
          <w:lang w:val="en-US" w:eastAsia="en-US"/>
        </w:rPr>
        <w:footnoteReference w:id="75"/>
      </w:r>
      <w:r w:rsidRPr="00933ED2">
        <w:rPr>
          <w:rFonts w:eastAsia="Calibri"/>
          <w:noProof/>
          <w:szCs w:val="22"/>
          <w:lang w:val="en-US" w:eastAsia="en-US"/>
        </w:rPr>
        <w:t>, containing commitments for the prevention of corruption, and providing for the adoption of the National Anti-Fraud Strategy.</w:t>
      </w:r>
      <w:r w:rsidRPr="00933ED2">
        <w:rPr>
          <w:rFonts w:eastAsia="Calibri"/>
          <w:b/>
          <w:bCs/>
          <w:noProof/>
          <w:szCs w:val="22"/>
          <w:lang w:val="en-US" w:eastAsia="en-US"/>
        </w:rPr>
        <w:t xml:space="preserve"> </w:t>
      </w:r>
      <w:r w:rsidRPr="00933ED2">
        <w:rPr>
          <w:rFonts w:eastAsia="Calibri"/>
          <w:noProof/>
          <w:szCs w:val="22"/>
          <w:lang w:val="en-US" w:eastAsia="en-US"/>
        </w:rPr>
        <w:t>Finally, institutional capacity has also been reinforced by the launch of an independent authority tasked with the protection of whistleblowers</w:t>
      </w:r>
      <w:r w:rsidRPr="00933ED2">
        <w:rPr>
          <w:rFonts w:eastAsia="Calibri"/>
          <w:noProof/>
          <w:szCs w:val="22"/>
          <w:vertAlign w:val="superscript"/>
          <w:lang w:val="en-US" w:eastAsia="en-US"/>
        </w:rPr>
        <w:footnoteReference w:id="76"/>
      </w:r>
      <w:r w:rsidRPr="00933ED2">
        <w:rPr>
          <w:rFonts w:eastAsia="Calibri"/>
          <w:noProof/>
          <w:szCs w:val="22"/>
          <w:lang w:val="en-US" w:eastAsia="en-US"/>
        </w:rPr>
        <w:t>, which started operating on 1 September 2025</w:t>
      </w:r>
      <w:r w:rsidRPr="00933ED2">
        <w:rPr>
          <w:rFonts w:eastAsia="Calibri"/>
          <w:noProof/>
          <w:szCs w:val="22"/>
          <w:vertAlign w:val="superscript"/>
          <w:lang w:val="en-US" w:eastAsia="en-US"/>
        </w:rPr>
        <w:footnoteReference w:id="77"/>
      </w:r>
      <w:r w:rsidRPr="00933ED2">
        <w:rPr>
          <w:rFonts w:eastAsia="Calibri"/>
          <w:noProof/>
          <w:szCs w:val="22"/>
          <w:lang w:val="en-US" w:eastAsia="en-US"/>
        </w:rPr>
        <w:t>.</w:t>
      </w:r>
    </w:p>
    <w:p w14:paraId="7E15F729" w14:textId="0823D647" w:rsidR="00933ED2" w:rsidRPr="00933ED2" w:rsidRDefault="00933ED2" w:rsidP="00933ED2">
      <w:pPr>
        <w:rPr>
          <w:rFonts w:eastAsia="Calibri"/>
          <w:bCs/>
          <w:noProof/>
          <w:szCs w:val="24"/>
          <w:lang w:val="en-US" w:eastAsia="en-US"/>
        </w:rPr>
      </w:pPr>
      <w:bookmarkStart w:id="9" w:name="_Hlk223020501"/>
      <w:bookmarkStart w:id="10" w:name="_Hlk157431096"/>
      <w:bookmarkStart w:id="11" w:name="_Hlk195546157"/>
      <w:bookmarkEnd w:id="5"/>
      <w:r w:rsidRPr="00933ED2">
        <w:rPr>
          <w:rFonts w:eastAsia="Calibri"/>
          <w:b/>
          <w:bCs/>
          <w:noProof/>
          <w:szCs w:val="22"/>
          <w:lang w:val="en-US" w:eastAsia="en-US"/>
        </w:rPr>
        <w:t>There has been some progress</w:t>
      </w:r>
      <w:bookmarkStart w:id="12" w:name="_Hlk195546190"/>
      <w:r w:rsidRPr="00933ED2">
        <w:rPr>
          <w:rFonts w:eastAsia="Calibri"/>
          <w:b/>
          <w:bCs/>
          <w:noProof/>
          <w:szCs w:val="22"/>
          <w:lang w:val="en-US" w:eastAsia="en-US"/>
        </w:rPr>
        <w:t xml:space="preserve"> on the recommendation related to the length of investigations and prosecutions of high-level corruption cases, with draft legislation to increase efficiency under discussion in Parliament</w:t>
      </w:r>
      <w:r w:rsidRPr="00933ED2">
        <w:rPr>
          <w:rFonts w:eastAsia="Calibri"/>
          <w:b/>
          <w:bCs/>
          <w:noProof/>
          <w:szCs w:val="22"/>
          <w:vertAlign w:val="superscript"/>
          <w:lang w:val="en-US" w:eastAsia="en-US"/>
        </w:rPr>
        <w:footnoteReference w:id="78"/>
      </w:r>
      <w:r w:rsidRPr="00933ED2">
        <w:rPr>
          <w:rFonts w:eastAsia="Calibri"/>
          <w:b/>
          <w:bCs/>
          <w:noProof/>
          <w:szCs w:val="22"/>
          <w:lang w:val="en-US" w:eastAsia="en-US"/>
        </w:rPr>
        <w:t>.</w:t>
      </w:r>
      <w:bookmarkEnd w:id="9"/>
      <w:bookmarkEnd w:id="12"/>
      <w:r w:rsidRPr="00933ED2">
        <w:rPr>
          <w:rFonts w:eastAsia="Calibri"/>
          <w:b/>
          <w:bCs/>
          <w:noProof/>
          <w:szCs w:val="22"/>
          <w:lang w:val="en-US" w:eastAsia="en-US"/>
        </w:rPr>
        <w:t xml:space="preserve"> </w:t>
      </w:r>
      <w:bookmarkEnd w:id="10"/>
      <w:bookmarkEnd w:id="11"/>
      <w:r w:rsidRPr="00933ED2">
        <w:rPr>
          <w:rFonts w:eastAsia="Calibri"/>
          <w:noProof/>
          <w:szCs w:val="22"/>
          <w:lang w:val="en-US" w:eastAsia="en-US"/>
        </w:rPr>
        <w:t>The draft law amending the Code of Criminal Procedure, tabled in Parliament in October 2025, aims to make the criminal procedure more effective</w:t>
      </w:r>
      <w:r w:rsidRPr="00933ED2">
        <w:rPr>
          <w:rFonts w:eastAsia="Calibri"/>
          <w:noProof/>
          <w:szCs w:val="22"/>
          <w:vertAlign w:val="superscript"/>
          <w:lang w:val="en-US" w:eastAsia="en-US"/>
        </w:rPr>
        <w:footnoteReference w:id="79"/>
      </w:r>
      <w:r w:rsidRPr="00933ED2">
        <w:rPr>
          <w:rFonts w:eastAsia="Calibri"/>
          <w:noProof/>
          <w:szCs w:val="22"/>
          <w:lang w:val="en-US" w:eastAsia="en-US"/>
        </w:rPr>
        <w:t>. The investigation would be a short preparatory phase of non-judicial nature, with an appeal possible in cases expressly provided by law</w:t>
      </w:r>
      <w:r w:rsidRPr="00933ED2">
        <w:rPr>
          <w:rFonts w:eastAsia="Calibri"/>
          <w:noProof/>
          <w:szCs w:val="22"/>
          <w:vertAlign w:val="superscript"/>
          <w:lang w:val="en-US" w:eastAsia="en-US"/>
        </w:rPr>
        <w:footnoteReference w:id="80"/>
      </w:r>
      <w:r w:rsidRPr="00933ED2">
        <w:rPr>
          <w:rFonts w:eastAsia="Calibri"/>
          <w:noProof/>
          <w:szCs w:val="22"/>
          <w:lang w:val="en-US" w:eastAsia="en-US"/>
        </w:rPr>
        <w:t>, and its duration would be subject to judicial oversight to ensure it matches the complexity of the case</w:t>
      </w:r>
      <w:r w:rsidRPr="00933ED2">
        <w:rPr>
          <w:rFonts w:eastAsia="Calibri"/>
          <w:noProof/>
          <w:szCs w:val="22"/>
          <w:vertAlign w:val="superscript"/>
          <w:lang w:val="en-US" w:eastAsia="en-US"/>
        </w:rPr>
        <w:footnoteReference w:id="81"/>
      </w:r>
      <w:r w:rsidRPr="00933ED2">
        <w:rPr>
          <w:rFonts w:eastAsia="Calibri"/>
          <w:noProof/>
          <w:szCs w:val="22"/>
          <w:lang w:val="en-US" w:eastAsia="en-US"/>
        </w:rPr>
        <w:t>. The statute of limitations for corruption crimes would be extended</w:t>
      </w:r>
      <w:r w:rsidRPr="00933ED2">
        <w:rPr>
          <w:rFonts w:eastAsia="Calibri"/>
          <w:noProof/>
          <w:szCs w:val="22"/>
          <w:vertAlign w:val="superscript"/>
          <w:lang w:val="en-US" w:eastAsia="en-US"/>
        </w:rPr>
        <w:footnoteReference w:id="82"/>
      </w:r>
      <w:r w:rsidRPr="00933ED2">
        <w:rPr>
          <w:rFonts w:eastAsia="Calibri"/>
          <w:noProof/>
          <w:szCs w:val="22"/>
          <w:lang w:val="en-US" w:eastAsia="en-US"/>
        </w:rPr>
        <w:t>. The total number of new corruption-related proceedings</w:t>
      </w:r>
      <w:r w:rsidRPr="00933ED2">
        <w:rPr>
          <w:rFonts w:eastAsia="Calibri"/>
          <w:noProof/>
          <w:szCs w:val="22"/>
          <w:vertAlign w:val="superscript"/>
          <w:lang w:val="en-US" w:eastAsia="en-US"/>
        </w:rPr>
        <w:footnoteReference w:id="83"/>
      </w:r>
      <w:r w:rsidRPr="00933ED2">
        <w:rPr>
          <w:rFonts w:eastAsia="Calibri"/>
          <w:noProof/>
          <w:szCs w:val="22"/>
          <w:lang w:val="en-US" w:eastAsia="en-US"/>
        </w:rPr>
        <w:t xml:space="preserve"> referred to the competent judicial body for prosecutions both at national level and at </w:t>
      </w:r>
      <w:r w:rsidR="00711E20">
        <w:rPr>
          <w:rFonts w:eastAsia="Calibri"/>
          <w:noProof/>
          <w:szCs w:val="22"/>
          <w:lang w:val="en-US" w:eastAsia="en-US"/>
        </w:rPr>
        <w:t>regional</w:t>
      </w:r>
      <w:r w:rsidR="00711E20" w:rsidRPr="00933ED2">
        <w:rPr>
          <w:rFonts w:eastAsia="Calibri"/>
          <w:noProof/>
          <w:szCs w:val="22"/>
          <w:lang w:val="en-US" w:eastAsia="en-US"/>
        </w:rPr>
        <w:t xml:space="preserve"> </w:t>
      </w:r>
      <w:r w:rsidRPr="00933ED2">
        <w:rPr>
          <w:rFonts w:eastAsia="Calibri"/>
          <w:noProof/>
          <w:szCs w:val="22"/>
          <w:lang w:val="en-US" w:eastAsia="en-US"/>
        </w:rPr>
        <w:t>level amounted to 19 in 2025</w:t>
      </w:r>
      <w:r w:rsidRPr="00933ED2">
        <w:rPr>
          <w:rFonts w:eastAsia="Calibri"/>
          <w:bCs/>
          <w:noProof/>
          <w:szCs w:val="24"/>
          <w:vertAlign w:val="superscript"/>
          <w:lang w:val="en-US" w:eastAsia="en-US"/>
        </w:rPr>
        <w:footnoteReference w:id="84"/>
      </w:r>
      <w:r w:rsidRPr="00933ED2">
        <w:rPr>
          <w:rFonts w:eastAsia="Calibri"/>
          <w:noProof/>
          <w:szCs w:val="22"/>
          <w:lang w:val="en-US" w:eastAsia="en-US"/>
        </w:rPr>
        <w:t>. Of the 76 adjudicated cases of corruption crimes in 2025, a total of 52 cases were convictions or partial convictions, while 19 were acquittals</w:t>
      </w:r>
      <w:r w:rsidRPr="00933ED2">
        <w:rPr>
          <w:rFonts w:eastAsia="Calibri"/>
          <w:noProof/>
          <w:szCs w:val="22"/>
          <w:vertAlign w:val="superscript"/>
          <w:lang w:val="en-US" w:eastAsia="en-US"/>
        </w:rPr>
        <w:footnoteReference w:id="85"/>
      </w:r>
      <w:r w:rsidRPr="00933ED2">
        <w:rPr>
          <w:rFonts w:eastAsia="Calibri"/>
          <w:noProof/>
          <w:szCs w:val="22"/>
          <w:lang w:val="en-US" w:eastAsia="en-US"/>
        </w:rPr>
        <w:t>. At the pre-investigation stage, in 2024</w:t>
      </w:r>
      <w:r w:rsidRPr="00933ED2">
        <w:rPr>
          <w:rFonts w:eastAsia="Calibri"/>
          <w:noProof/>
          <w:szCs w:val="22"/>
          <w:vertAlign w:val="superscript"/>
          <w:lang w:val="en-US" w:eastAsia="en-US"/>
        </w:rPr>
        <w:footnoteReference w:id="86"/>
      </w:r>
      <w:r w:rsidRPr="00933ED2">
        <w:rPr>
          <w:rFonts w:eastAsia="Calibri"/>
          <w:noProof/>
          <w:szCs w:val="22"/>
          <w:lang w:val="en-US" w:eastAsia="en-US"/>
        </w:rPr>
        <w:t>, the Special Anti-Corruption Prosecutor’s Office managed its workload without a major accumulation of new backlog</w:t>
      </w:r>
      <w:r w:rsidRPr="00933ED2">
        <w:rPr>
          <w:rFonts w:eastAsia="Calibri"/>
          <w:noProof/>
          <w:szCs w:val="22"/>
          <w:vertAlign w:val="superscript"/>
          <w:lang w:val="en-US" w:eastAsia="en-US"/>
        </w:rPr>
        <w:footnoteReference w:id="87"/>
      </w:r>
      <w:r w:rsidRPr="00933ED2">
        <w:rPr>
          <w:rFonts w:eastAsia="Calibri"/>
          <w:noProof/>
          <w:szCs w:val="22"/>
          <w:lang w:val="en-US" w:eastAsia="en-US"/>
        </w:rPr>
        <w:t>. The European Public prosecutor’s Office (EPPO) had four active corruption cases in Spain by the end of 2025</w:t>
      </w:r>
      <w:r w:rsidRPr="00933ED2">
        <w:rPr>
          <w:rFonts w:eastAsia="Calibri"/>
          <w:noProof/>
          <w:szCs w:val="22"/>
          <w:vertAlign w:val="superscript"/>
          <w:lang w:val="en-US" w:eastAsia="en-US"/>
        </w:rPr>
        <w:footnoteReference w:id="88"/>
      </w:r>
      <w:r w:rsidRPr="00933ED2">
        <w:rPr>
          <w:rFonts w:eastAsia="Calibri"/>
          <w:noProof/>
          <w:szCs w:val="22"/>
          <w:lang w:val="en-US" w:eastAsia="en-US"/>
        </w:rPr>
        <w:t>. In 2025, a specialised unit was established within the General Prosecutor’s Office to coordinate prosecutors handling crimes against public administration</w:t>
      </w:r>
      <w:r w:rsidRPr="00933ED2">
        <w:rPr>
          <w:rFonts w:eastAsia="Calibri"/>
          <w:noProof/>
          <w:szCs w:val="22"/>
          <w:vertAlign w:val="superscript"/>
          <w:lang w:val="en-US" w:eastAsia="en-US"/>
        </w:rPr>
        <w:footnoteReference w:id="89"/>
      </w:r>
      <w:r w:rsidRPr="00933ED2">
        <w:rPr>
          <w:rFonts w:eastAsia="Calibri"/>
          <w:noProof/>
          <w:szCs w:val="22"/>
          <w:lang w:val="en-US" w:eastAsia="en-US"/>
        </w:rPr>
        <w:t>. Together with new judicial and prosecutorial posts and the appointment of three additional judges at the National High Court, these measures aim to strengthen the efficiency of handling of corruption cases</w:t>
      </w:r>
      <w:r w:rsidRPr="00933ED2">
        <w:rPr>
          <w:rFonts w:eastAsia="Calibri"/>
          <w:noProof/>
          <w:szCs w:val="22"/>
          <w:vertAlign w:val="superscript"/>
          <w:lang w:val="en-US" w:eastAsia="en-US"/>
        </w:rPr>
        <w:footnoteReference w:id="90"/>
      </w:r>
      <w:r w:rsidRPr="00933ED2">
        <w:rPr>
          <w:rFonts w:eastAsia="Calibri"/>
          <w:noProof/>
          <w:szCs w:val="22"/>
          <w:lang w:val="en-US" w:eastAsia="en-US"/>
        </w:rPr>
        <w:t>. Challenges remain in the investigation and prosecution of high-level corruption cases due to the involvement of multiple parties, lengthy appeal procedures, delays in international assistance, complexity of expert reports, limited resources, and the lack of specialised judicial bodies</w:t>
      </w:r>
      <w:r w:rsidRPr="00933ED2">
        <w:rPr>
          <w:rFonts w:eastAsia="Calibri"/>
          <w:noProof/>
          <w:szCs w:val="22"/>
          <w:vertAlign w:val="superscript"/>
          <w:lang w:val="en-US" w:eastAsia="en-US"/>
        </w:rPr>
        <w:footnoteReference w:id="91"/>
      </w:r>
      <w:r w:rsidRPr="00933ED2">
        <w:rPr>
          <w:rFonts w:eastAsia="Calibri"/>
          <w:noProof/>
          <w:szCs w:val="22"/>
          <w:lang w:val="en-US" w:eastAsia="en-US"/>
        </w:rPr>
        <w:t xml:space="preserve">. Overall, with a view to the authorities’ efforts to improve staffing and the proposal to reform the Code of Criminal Procedure, some progress has been made on this recommendation. </w:t>
      </w:r>
    </w:p>
    <w:p w14:paraId="2BB7DA41" w14:textId="132CC7B5" w:rsidR="00933ED2" w:rsidRPr="00933ED2" w:rsidRDefault="00933ED2" w:rsidP="00933ED2">
      <w:pPr>
        <w:rPr>
          <w:rFonts w:eastAsia="Calibri" w:cstheme="minorBidi"/>
          <w:noProof/>
          <w:szCs w:val="22"/>
          <w:lang w:val="en-US" w:eastAsia="en-US"/>
        </w:rPr>
      </w:pPr>
      <w:r w:rsidRPr="00933ED2">
        <w:rPr>
          <w:rFonts w:eastAsia="Calibri"/>
          <w:b/>
          <w:bCs/>
          <w:noProof/>
          <w:szCs w:val="22"/>
          <w:lang w:val="en-US" w:eastAsia="en-US"/>
        </w:rPr>
        <w:t>Efforts continue to address gaps in the legislative framework and in the enforcement of the foreign bribery law.</w:t>
      </w:r>
      <w:r w:rsidRPr="00933ED2">
        <w:rPr>
          <w:rFonts w:eastAsia="Calibri"/>
          <w:noProof/>
          <w:szCs w:val="22"/>
          <w:lang w:val="en-US" w:eastAsia="en-US"/>
        </w:rPr>
        <w:t xml:space="preserve"> While the legal framework for the criminalisation of international bribery and related penalties remained unchanged in 2025</w:t>
      </w:r>
      <w:r w:rsidRPr="00933ED2">
        <w:rPr>
          <w:rFonts w:eastAsia="Calibri"/>
          <w:noProof/>
          <w:szCs w:val="22"/>
          <w:vertAlign w:val="superscript"/>
          <w:lang w:val="en-US" w:eastAsia="en-US"/>
        </w:rPr>
        <w:footnoteReference w:id="92"/>
      </w:r>
      <w:r w:rsidRPr="00933ED2">
        <w:rPr>
          <w:rFonts w:eastAsia="Calibri"/>
          <w:noProof/>
          <w:szCs w:val="22"/>
          <w:lang w:val="en-US" w:eastAsia="en-US"/>
        </w:rPr>
        <w:t>, an extension of the limitation period and stricter penalties for legal persons are now envisaged</w:t>
      </w:r>
      <w:r w:rsidRPr="00933ED2">
        <w:rPr>
          <w:rFonts w:eastAsia="Calibri"/>
          <w:bCs/>
          <w:noProof/>
          <w:szCs w:val="24"/>
          <w:vertAlign w:val="superscript"/>
          <w:lang w:val="en-US" w:eastAsia="en-US"/>
        </w:rPr>
        <w:footnoteReference w:id="93"/>
      </w:r>
      <w:r w:rsidRPr="00933ED2">
        <w:rPr>
          <w:rFonts w:eastAsia="Calibri"/>
          <w:noProof/>
          <w:szCs w:val="22"/>
          <w:lang w:val="en-US" w:eastAsia="en-US"/>
        </w:rPr>
        <w:t xml:space="preserve">. These provisions are set out in the </w:t>
      </w:r>
      <w:r w:rsidR="00542B78">
        <w:rPr>
          <w:rFonts w:eastAsia="Calibri"/>
          <w:noProof/>
          <w:szCs w:val="22"/>
          <w:lang w:val="en-US" w:eastAsia="en-US"/>
        </w:rPr>
        <w:t xml:space="preserve">preliminary </w:t>
      </w:r>
      <w:r w:rsidRPr="00933ED2">
        <w:rPr>
          <w:rFonts w:eastAsiaTheme="minorHAnsi" w:cstheme="minorBidi"/>
          <w:noProof/>
          <w:szCs w:val="22"/>
          <w:lang w:val="en-US" w:eastAsia="en-US"/>
        </w:rPr>
        <w:t>draft Organic Law on Public Integrity</w:t>
      </w:r>
      <w:r w:rsidRPr="00933ED2">
        <w:rPr>
          <w:rFonts w:eastAsia="Calibri"/>
          <w:noProof/>
          <w:szCs w:val="22"/>
          <w:lang w:val="en-US" w:eastAsia="en-US"/>
        </w:rPr>
        <w:t xml:space="preserve">, which </w:t>
      </w:r>
      <w:r w:rsidR="003F28C2">
        <w:rPr>
          <w:rFonts w:eastAsia="Calibri"/>
          <w:noProof/>
          <w:szCs w:val="22"/>
          <w:lang w:val="en-US" w:eastAsia="en-US"/>
        </w:rPr>
        <w:t xml:space="preserve">underwent the first reading in </w:t>
      </w:r>
      <w:r w:rsidRPr="00933ED2">
        <w:rPr>
          <w:rFonts w:eastAsia="Calibri"/>
          <w:noProof/>
          <w:szCs w:val="22"/>
          <w:lang w:val="en-US" w:eastAsia="en-US"/>
        </w:rPr>
        <w:t>the Council of Ministers in February 2026. The Government also aims to continue improving its track record on foreign bribery by general anti-corruption measures contained in the draft law amending the Code of Criminal Procedure</w:t>
      </w:r>
      <w:r w:rsidRPr="00933ED2">
        <w:rPr>
          <w:rFonts w:eastAsia="Calibri"/>
          <w:noProof/>
          <w:szCs w:val="24"/>
          <w:vertAlign w:val="superscript"/>
          <w:lang w:val="en-US" w:eastAsia="en-US"/>
        </w:rPr>
        <w:footnoteReference w:id="94"/>
      </w:r>
      <w:r w:rsidRPr="00933ED2">
        <w:rPr>
          <w:rFonts w:eastAsia="Calibri"/>
          <w:noProof/>
          <w:szCs w:val="22"/>
          <w:lang w:val="en-US" w:eastAsia="en-US"/>
        </w:rPr>
        <w:t>, as well as by establishing a national database on corruption offences in international commercial transactions. Awareness-raising actions and training on detecting foreign bribery are carried out, and measures taken to help detect such cases by auditors and by the Executive Service of the Commission for the Prevention of Money Laundering and Monetary Offences</w:t>
      </w:r>
      <w:r w:rsidRPr="00933ED2">
        <w:rPr>
          <w:rFonts w:eastAsia="Calibri"/>
          <w:bCs/>
          <w:noProof/>
          <w:szCs w:val="24"/>
          <w:vertAlign w:val="superscript"/>
          <w:lang w:val="en-US" w:eastAsia="en-US"/>
        </w:rPr>
        <w:footnoteReference w:id="95"/>
      </w:r>
      <w:r w:rsidRPr="00933ED2">
        <w:rPr>
          <w:rFonts w:eastAsia="Calibri"/>
          <w:noProof/>
          <w:szCs w:val="22"/>
          <w:lang w:val="en-US" w:eastAsia="en-US"/>
        </w:rPr>
        <w:t xml:space="preserve">. </w:t>
      </w:r>
      <w:r w:rsidR="004B2445" w:rsidRPr="00933ED2">
        <w:rPr>
          <w:rFonts w:eastAsiaTheme="minorHAnsi" w:cstheme="minorBidi"/>
          <w:noProof/>
          <w:szCs w:val="22"/>
          <w:lang w:val="en-US" w:eastAsia="en-US"/>
        </w:rPr>
        <w:t>New criminal investigations related to international bribery cases have been opened and existing ones processed further</w:t>
      </w:r>
      <w:r w:rsidR="004B2445" w:rsidRPr="00933ED2">
        <w:rPr>
          <w:rFonts w:eastAsiaTheme="minorHAnsi" w:cstheme="minorBidi"/>
          <w:noProof/>
          <w:szCs w:val="22"/>
          <w:vertAlign w:val="superscript"/>
          <w:lang w:val="en-US" w:eastAsia="en-US"/>
        </w:rPr>
        <w:footnoteReference w:id="96"/>
      </w:r>
      <w:r w:rsidR="004B2445" w:rsidRPr="00933ED2">
        <w:rPr>
          <w:rFonts w:eastAsiaTheme="minorHAnsi" w:cstheme="minorBidi"/>
          <w:noProof/>
          <w:szCs w:val="22"/>
          <w:lang w:val="en-US" w:eastAsia="en-US"/>
        </w:rPr>
        <w:t>.</w:t>
      </w:r>
      <w:r w:rsidR="004B2445">
        <w:rPr>
          <w:rFonts w:eastAsiaTheme="minorHAnsi" w:cstheme="minorBidi"/>
          <w:noProof/>
          <w:szCs w:val="22"/>
          <w:lang w:val="en-US" w:eastAsia="en-US"/>
        </w:rPr>
        <w:t xml:space="preserve"> </w:t>
      </w:r>
      <w:r w:rsidRPr="00933ED2">
        <w:rPr>
          <w:rFonts w:eastAsia="Calibri"/>
          <w:noProof/>
          <w:szCs w:val="22"/>
          <w:lang w:val="en-US" w:eastAsia="en-US"/>
        </w:rPr>
        <w:t>Despite these efforts, enforcement against foreign bribery remained limited in 2025, with only three cases concluded successfully since 2016</w:t>
      </w:r>
      <w:r w:rsidRPr="00933ED2">
        <w:rPr>
          <w:rFonts w:eastAsia="Calibri"/>
          <w:bCs/>
          <w:noProof/>
          <w:szCs w:val="24"/>
          <w:vertAlign w:val="superscript"/>
          <w:lang w:val="en-US" w:eastAsia="en-US"/>
        </w:rPr>
        <w:footnoteReference w:id="97"/>
      </w:r>
      <w:r w:rsidRPr="00933ED2">
        <w:rPr>
          <w:rFonts w:eastAsia="Calibri"/>
          <w:noProof/>
          <w:szCs w:val="22"/>
          <w:lang w:val="en-US" w:eastAsia="en-US"/>
        </w:rPr>
        <w:t>, including one new conviction in 2025</w:t>
      </w:r>
      <w:r w:rsidRPr="00933ED2">
        <w:rPr>
          <w:rFonts w:eastAsia="Calibri"/>
          <w:bCs/>
          <w:noProof/>
          <w:szCs w:val="24"/>
          <w:vertAlign w:val="superscript"/>
          <w:lang w:val="en-US" w:eastAsia="en-US"/>
        </w:rPr>
        <w:footnoteReference w:id="98"/>
      </w:r>
      <w:r w:rsidRPr="00933ED2">
        <w:rPr>
          <w:rFonts w:eastAsia="Calibri"/>
          <w:noProof/>
          <w:szCs w:val="22"/>
          <w:lang w:val="en-US" w:eastAsia="en-US"/>
        </w:rPr>
        <w:t xml:space="preserve">. </w:t>
      </w:r>
    </w:p>
    <w:p w14:paraId="473CBAEB" w14:textId="77777777" w:rsidR="00933ED2" w:rsidRPr="00933ED2" w:rsidRDefault="00933ED2" w:rsidP="00933ED2">
      <w:pPr>
        <w:rPr>
          <w:rFonts w:eastAsia="Calibri"/>
          <w:noProof/>
          <w:szCs w:val="24"/>
          <w:lang w:val="en-US" w:eastAsia="en-US"/>
        </w:rPr>
      </w:pPr>
      <w:bookmarkStart w:id="13" w:name="_Hlk223021242"/>
      <w:bookmarkStart w:id="14" w:name="_Hlk225242022"/>
      <w:bookmarkStart w:id="15" w:name="_Hlk223530683"/>
      <w:bookmarkEnd w:id="3"/>
      <w:r w:rsidRPr="00933ED2">
        <w:rPr>
          <w:rFonts w:eastAsia="Calibri"/>
          <w:b/>
          <w:bCs/>
          <w:noProof/>
          <w:szCs w:val="22"/>
          <w:lang w:val="en-US" w:eastAsia="en-US"/>
        </w:rPr>
        <w:t>A draft law has been prepared with the view of reinforcing the Council for Transparency and Good Governance</w:t>
      </w:r>
      <w:bookmarkEnd w:id="13"/>
      <w:r w:rsidRPr="00933ED2">
        <w:rPr>
          <w:rFonts w:eastAsia="Calibri"/>
          <w:b/>
          <w:bCs/>
          <w:noProof/>
          <w:szCs w:val="22"/>
          <w:lang w:val="en-US" w:eastAsia="en-US"/>
        </w:rPr>
        <w:t>.</w:t>
      </w:r>
      <w:r w:rsidRPr="00933ED2">
        <w:rPr>
          <w:rFonts w:eastAsia="Calibri"/>
          <w:noProof/>
          <w:szCs w:val="22"/>
          <w:lang w:val="en-US" w:eastAsia="en-US"/>
        </w:rPr>
        <w:t xml:space="preserve"> </w:t>
      </w:r>
      <w:bookmarkEnd w:id="14"/>
      <w:r w:rsidRPr="00933ED2">
        <w:rPr>
          <w:rFonts w:eastAsia="Calibri"/>
          <w:noProof/>
          <w:szCs w:val="22"/>
          <w:lang w:val="en-US" w:eastAsia="en-US"/>
        </w:rPr>
        <w:t>In February 2026, the Council of Ministers approved the draft Open Administration Law. This draft law envisages the reinforcement of the role of the Council for Transparency and Good Governance, which is for the first time defined as an independent administrative authority</w:t>
      </w:r>
      <w:r w:rsidRPr="00933ED2">
        <w:rPr>
          <w:rFonts w:eastAsia="Calibri"/>
          <w:noProof/>
          <w:szCs w:val="22"/>
          <w:vertAlign w:val="superscript"/>
          <w:lang w:val="en-US" w:eastAsia="en-US"/>
        </w:rPr>
        <w:footnoteReference w:id="99"/>
      </w:r>
      <w:r w:rsidRPr="00933ED2">
        <w:rPr>
          <w:rFonts w:eastAsia="Calibri"/>
          <w:noProof/>
          <w:szCs w:val="22"/>
          <w:lang w:val="en-US" w:eastAsia="en-US"/>
        </w:rPr>
        <w:t>, competent to monitor compliance with transparency obligations and resolve complaints, and provided with new powers to impose sanctions</w:t>
      </w:r>
      <w:r w:rsidRPr="00933ED2">
        <w:rPr>
          <w:rFonts w:eastAsia="Calibri"/>
          <w:noProof/>
          <w:szCs w:val="22"/>
          <w:vertAlign w:val="superscript"/>
          <w:lang w:val="en-US" w:eastAsia="en-US"/>
        </w:rPr>
        <w:footnoteReference w:id="100"/>
      </w:r>
      <w:r w:rsidRPr="00933ED2">
        <w:rPr>
          <w:rFonts w:eastAsia="Calibri"/>
          <w:noProof/>
          <w:szCs w:val="22"/>
          <w:lang w:val="en-US" w:eastAsia="en-US"/>
        </w:rPr>
        <w:t>. It will also play a stronger governance role and assess the degree of implementation of the Open Administration Law</w:t>
      </w:r>
      <w:r w:rsidRPr="00933ED2">
        <w:rPr>
          <w:rFonts w:eastAsia="Calibri"/>
          <w:noProof/>
          <w:szCs w:val="22"/>
          <w:vertAlign w:val="superscript"/>
          <w:lang w:val="en-US" w:eastAsia="en-US"/>
        </w:rPr>
        <w:footnoteReference w:id="101"/>
      </w:r>
      <w:r w:rsidRPr="00933ED2">
        <w:rPr>
          <w:rFonts w:eastAsia="Calibri"/>
          <w:noProof/>
          <w:szCs w:val="22"/>
          <w:lang w:val="en-US" w:eastAsia="en-US"/>
        </w:rPr>
        <w:t>. This reinforcement is designed to ensure effective external control over high-risk sectors and actions</w:t>
      </w:r>
      <w:r w:rsidRPr="00933ED2">
        <w:rPr>
          <w:rFonts w:eastAsia="Calibri"/>
          <w:noProof/>
          <w:szCs w:val="22"/>
          <w:vertAlign w:val="superscript"/>
          <w:lang w:val="en-US" w:eastAsia="en-US"/>
        </w:rPr>
        <w:footnoteReference w:id="102"/>
      </w:r>
      <w:r w:rsidRPr="00933ED2">
        <w:rPr>
          <w:rFonts w:eastAsia="Calibri"/>
          <w:noProof/>
          <w:szCs w:val="22"/>
          <w:lang w:val="en-US" w:eastAsia="en-US"/>
        </w:rPr>
        <w:t>. However, the Council notes that the current limited budgetary resources hamper its functioning</w:t>
      </w:r>
      <w:r w:rsidRPr="00933ED2">
        <w:rPr>
          <w:rFonts w:eastAsia="Calibri"/>
          <w:noProof/>
          <w:szCs w:val="22"/>
          <w:vertAlign w:val="superscript"/>
          <w:lang w:val="en-US" w:eastAsia="en-US"/>
        </w:rPr>
        <w:footnoteReference w:id="103"/>
      </w:r>
      <w:r w:rsidRPr="00933ED2">
        <w:rPr>
          <w:rFonts w:eastAsia="Calibri"/>
          <w:noProof/>
          <w:szCs w:val="22"/>
          <w:lang w:val="en-US" w:eastAsia="en-US"/>
        </w:rPr>
        <w:t>, notably with a view to handling an increasing number of complaints</w:t>
      </w:r>
      <w:r w:rsidRPr="00933ED2">
        <w:rPr>
          <w:rFonts w:eastAsia="Calibri"/>
          <w:noProof/>
          <w:szCs w:val="22"/>
          <w:vertAlign w:val="superscript"/>
          <w:lang w:val="en-US" w:eastAsia="en-US"/>
        </w:rPr>
        <w:footnoteReference w:id="104"/>
      </w:r>
      <w:r w:rsidRPr="00933ED2">
        <w:rPr>
          <w:rFonts w:eastAsia="Calibri"/>
          <w:noProof/>
          <w:szCs w:val="22"/>
          <w:lang w:val="en-US" w:eastAsia="en-US"/>
        </w:rPr>
        <w:t>.</w:t>
      </w:r>
    </w:p>
    <w:p w14:paraId="7FDB91E6" w14:textId="18FD2379" w:rsidR="00933ED2" w:rsidRPr="00933ED2" w:rsidRDefault="00933ED2" w:rsidP="00933ED2">
      <w:pPr>
        <w:rPr>
          <w:rFonts w:eastAsia="Calibri"/>
          <w:noProof/>
          <w:szCs w:val="24"/>
          <w:lang w:val="en-US" w:eastAsia="en-US"/>
        </w:rPr>
      </w:pPr>
      <w:bookmarkStart w:id="16" w:name="_Hlk223700244"/>
      <w:r w:rsidRPr="00933ED2">
        <w:rPr>
          <w:rFonts w:eastAsia="Calibri"/>
          <w:b/>
          <w:bCs/>
          <w:noProof/>
          <w:szCs w:val="22"/>
          <w:lang w:val="en-US" w:eastAsia="en-US"/>
        </w:rPr>
        <w:t>The draft Open Administration Law seeks to establish a comprehensive regime for the prevention of conflicts of interest in the public sector.</w:t>
      </w:r>
      <w:r w:rsidRPr="00933ED2">
        <w:rPr>
          <w:rFonts w:eastAsia="Calibri"/>
          <w:noProof/>
          <w:szCs w:val="22"/>
          <w:lang w:val="en-US" w:eastAsia="en-US"/>
        </w:rPr>
        <w:t xml:space="preserve"> </w:t>
      </w:r>
      <w:bookmarkEnd w:id="16"/>
      <w:r w:rsidRPr="00933ED2">
        <w:rPr>
          <w:rFonts w:eastAsia="Calibri"/>
          <w:noProof/>
          <w:szCs w:val="22"/>
          <w:lang w:val="en-US" w:eastAsia="en-US"/>
        </w:rPr>
        <w:t>The draft Open Administration Law provides a clear definition of conflicts of interest, defines what constitutes an enforceable abstention procedure, and complements it by traceability and control measures. It also incorporates early detection measures, including alert systems and declarations of absence of conflict of interest. Furthermore, the draft introduces a specific sanctioning regime, with graduated sanctions</w:t>
      </w:r>
      <w:r w:rsidRPr="00933ED2">
        <w:rPr>
          <w:rFonts w:eastAsia="Calibri"/>
          <w:noProof/>
          <w:szCs w:val="22"/>
          <w:vertAlign w:val="superscript"/>
          <w:lang w:val="en-US" w:eastAsia="en-US"/>
        </w:rPr>
        <w:footnoteReference w:id="105"/>
      </w:r>
      <w:r w:rsidRPr="00933ED2">
        <w:rPr>
          <w:rFonts w:eastAsia="Calibri"/>
          <w:noProof/>
          <w:szCs w:val="22"/>
          <w:lang w:val="en-US" w:eastAsia="en-US"/>
        </w:rPr>
        <w:t xml:space="preserve">. Finally, the draft strengthens the asset-control regime by assigning the Office for the Conflict of Interest (OCI) the responsibility for end-of-term and random checks, and the issuance of a report within three months of cessation. With appropriate verification powers and adequate capacity, these mechanisms may help </w:t>
      </w:r>
      <w:r w:rsidR="00720900">
        <w:rPr>
          <w:rFonts w:eastAsia="Calibri"/>
          <w:noProof/>
          <w:szCs w:val="22"/>
          <w:lang w:val="en-US" w:eastAsia="en-US"/>
        </w:rPr>
        <w:t xml:space="preserve">structurally </w:t>
      </w:r>
      <w:r w:rsidRPr="00933ED2">
        <w:rPr>
          <w:rFonts w:eastAsia="Calibri"/>
          <w:noProof/>
          <w:szCs w:val="22"/>
          <w:lang w:val="en-US" w:eastAsia="en-US"/>
        </w:rPr>
        <w:t>strengthen the system</w:t>
      </w:r>
      <w:r w:rsidRPr="00933ED2">
        <w:rPr>
          <w:rFonts w:eastAsia="Calibri"/>
          <w:noProof/>
          <w:szCs w:val="22"/>
          <w:vertAlign w:val="superscript"/>
          <w:lang w:val="en-US" w:eastAsia="en-US"/>
        </w:rPr>
        <w:footnoteReference w:id="106"/>
      </w:r>
      <w:r w:rsidRPr="00933ED2">
        <w:rPr>
          <w:rFonts w:eastAsia="Calibri"/>
          <w:noProof/>
          <w:szCs w:val="22"/>
          <w:lang w:val="en-US" w:eastAsia="en-US"/>
        </w:rPr>
        <w:t>. In addition, the Office for Asset Recovery and Management (ORGA) would be reinforced</w:t>
      </w:r>
      <w:r w:rsidRPr="00933ED2">
        <w:rPr>
          <w:rFonts w:eastAsia="Calibri"/>
          <w:noProof/>
          <w:szCs w:val="22"/>
          <w:vertAlign w:val="superscript"/>
          <w:lang w:val="en-US" w:eastAsia="en-US"/>
        </w:rPr>
        <w:footnoteReference w:id="107"/>
      </w:r>
      <w:r w:rsidRPr="00933ED2">
        <w:rPr>
          <w:rFonts w:eastAsia="Calibri"/>
          <w:noProof/>
          <w:szCs w:val="22"/>
          <w:lang w:val="en-US" w:eastAsia="en-US"/>
        </w:rPr>
        <w:t>. Concerning rules on conflicts of interest across all government agencies in Spain, GRECO points at a number of areas for improvement, notably regarding the prevention of corruption and the promotion of integrity in law-enforcement agencies</w:t>
      </w:r>
      <w:r w:rsidRPr="00933ED2">
        <w:rPr>
          <w:rFonts w:eastAsia="Calibri"/>
          <w:noProof/>
          <w:szCs w:val="22"/>
          <w:vertAlign w:val="superscript"/>
          <w:lang w:val="en-US" w:eastAsia="en-US"/>
        </w:rPr>
        <w:footnoteReference w:id="108"/>
      </w:r>
      <w:r w:rsidRPr="00933ED2">
        <w:rPr>
          <w:rFonts w:eastAsia="Calibri"/>
          <w:noProof/>
          <w:szCs w:val="22"/>
          <w:lang w:val="en-US" w:eastAsia="en-US"/>
        </w:rPr>
        <w:t xml:space="preserve">. </w:t>
      </w:r>
    </w:p>
    <w:p w14:paraId="25791E2A" w14:textId="22483B2C" w:rsidR="00933ED2" w:rsidRPr="00933ED2" w:rsidRDefault="35B9E9DC" w:rsidP="00933ED2">
      <w:pPr>
        <w:rPr>
          <w:rFonts w:eastAsia="Calibri"/>
          <w:noProof/>
          <w:szCs w:val="24"/>
          <w:lang w:val="en-US" w:eastAsia="en-US"/>
        </w:rPr>
      </w:pPr>
      <w:r w:rsidRPr="3AE059E3">
        <w:rPr>
          <w:rFonts w:eastAsia="Calibri"/>
          <w:b/>
          <w:bCs/>
          <w:noProof/>
          <w:lang w:val="en-US" w:eastAsia="en-US"/>
        </w:rPr>
        <w:t>There has been limited progress on the recommendation to strengthen the rules on conflicts of interest and asset declarations of persons in top executive functions</w:t>
      </w:r>
      <w:r w:rsidR="00933ED2" w:rsidRPr="3AE059E3">
        <w:rPr>
          <w:rFonts w:eastAsia="Calibri"/>
          <w:b/>
          <w:bCs/>
          <w:noProof/>
          <w:vertAlign w:val="superscript"/>
          <w:lang w:val="en-US" w:eastAsia="en-US"/>
        </w:rPr>
        <w:footnoteReference w:id="109"/>
      </w:r>
      <w:r w:rsidRPr="3AE059E3">
        <w:rPr>
          <w:rFonts w:eastAsia="Calibri"/>
          <w:b/>
          <w:bCs/>
          <w:noProof/>
          <w:lang w:val="en-US" w:eastAsia="en-US"/>
        </w:rPr>
        <w:t>.</w:t>
      </w:r>
      <w:r w:rsidRPr="3AE059E3">
        <w:rPr>
          <w:rFonts w:eastAsia="Calibri"/>
          <w:noProof/>
          <w:lang w:val="en-US" w:eastAsia="en-US"/>
        </w:rPr>
        <w:t xml:space="preserve"> Asset disclosure obligations, revolving-doors, and conflicts of interest are regulated in Law 3/2015. However, available data indicate that, in practice, in its current setup, the Office for Conflicts of Interest (OCI) </w:t>
      </w:r>
      <w:r w:rsidR="73432BDF" w:rsidRPr="3AE059E3">
        <w:rPr>
          <w:rFonts w:eastAsia="Calibri"/>
          <w:noProof/>
          <w:lang w:val="en-US" w:eastAsia="en-US"/>
        </w:rPr>
        <w:t xml:space="preserve">may have </w:t>
      </w:r>
      <w:r w:rsidRPr="3AE059E3">
        <w:rPr>
          <w:rFonts w:eastAsia="Calibri"/>
          <w:noProof/>
          <w:lang w:val="en-US" w:eastAsia="en-US"/>
        </w:rPr>
        <w:t>limited capacity to detect, deter or sanction misconduct</w:t>
      </w:r>
      <w:r w:rsidR="00933ED2" w:rsidRPr="3AE059E3">
        <w:rPr>
          <w:rFonts w:eastAsia="Calibri"/>
          <w:noProof/>
          <w:vertAlign w:val="superscript"/>
          <w:lang w:val="en-US" w:eastAsia="en-US"/>
        </w:rPr>
        <w:footnoteReference w:id="110"/>
      </w:r>
      <w:r w:rsidRPr="3AE059E3">
        <w:rPr>
          <w:rFonts w:eastAsia="Calibri"/>
          <w:noProof/>
          <w:lang w:val="en-US" w:eastAsia="en-US"/>
        </w:rPr>
        <w:t>.</w:t>
      </w:r>
      <w:r w:rsidRPr="3AE059E3">
        <w:rPr>
          <w:rFonts w:eastAsia="Calibri"/>
          <w:b/>
          <w:bCs/>
          <w:noProof/>
          <w:lang w:val="en-US" w:eastAsia="en-US"/>
        </w:rPr>
        <w:t xml:space="preserve"> </w:t>
      </w:r>
      <w:r w:rsidRPr="3AE059E3">
        <w:rPr>
          <w:rFonts w:eastAsia="Calibri"/>
          <w:noProof/>
          <w:lang w:val="en-US" w:eastAsia="en-US"/>
        </w:rPr>
        <w:t xml:space="preserve">The State Anti-Corruption Plan includes the creation of an Independent Public Integrity Agency, which is set to take on a key role in preventing, monitoring, and prosecuting corruption. Its establishment is planned through the </w:t>
      </w:r>
      <w:r w:rsidR="00ED108C">
        <w:rPr>
          <w:rFonts w:eastAsia="Calibri"/>
          <w:noProof/>
          <w:lang w:val="en-US" w:eastAsia="en-US"/>
        </w:rPr>
        <w:t xml:space="preserve">preliminary </w:t>
      </w:r>
      <w:r w:rsidRPr="3AE059E3">
        <w:rPr>
          <w:rFonts w:eastAsia="Calibri"/>
          <w:noProof/>
          <w:lang w:val="en-US" w:eastAsia="en-US"/>
        </w:rPr>
        <w:t xml:space="preserve">draft Organic Law on Public Integrity. The new agency would consolidate under a single institutional umbrella the roles of the OCI, the Independent Authority for Whistleblower Protection, as well as the National Anti-Fraud </w:t>
      </w:r>
      <w:r w:rsidR="41089CC9" w:rsidRPr="3AE059E3">
        <w:rPr>
          <w:rFonts w:eastAsia="Calibri"/>
          <w:noProof/>
          <w:lang w:val="en-US" w:eastAsia="en-US"/>
        </w:rPr>
        <w:t>Coor</w:t>
      </w:r>
      <w:r w:rsidR="4FCA795C" w:rsidRPr="3AE059E3">
        <w:rPr>
          <w:rFonts w:eastAsia="Calibri"/>
          <w:noProof/>
          <w:lang w:val="en-US" w:eastAsia="en-US"/>
        </w:rPr>
        <w:t>dination Service</w:t>
      </w:r>
      <w:r w:rsidR="00933ED2" w:rsidRPr="3AE059E3">
        <w:rPr>
          <w:rFonts w:eastAsia="Calibri"/>
          <w:noProof/>
          <w:vertAlign w:val="superscript"/>
          <w:lang w:val="en-US" w:eastAsia="en-US"/>
        </w:rPr>
        <w:footnoteReference w:id="111"/>
      </w:r>
      <w:r w:rsidRPr="3AE059E3">
        <w:rPr>
          <w:rFonts w:eastAsia="Calibri"/>
          <w:noProof/>
          <w:lang w:val="en-US" w:eastAsia="en-US"/>
        </w:rPr>
        <w:t>. To facilitate compliance with the notification obligations, a set of guidelines containing explanations and best practices was published at the end of 2025 by Parliament</w:t>
      </w:r>
      <w:r w:rsidR="00933ED2" w:rsidRPr="3AE059E3">
        <w:rPr>
          <w:rFonts w:eastAsia="Calibri"/>
          <w:noProof/>
          <w:vertAlign w:val="superscript"/>
          <w:lang w:val="en-US" w:eastAsia="en-US"/>
        </w:rPr>
        <w:footnoteReference w:id="112"/>
      </w:r>
      <w:r w:rsidRPr="3AE059E3">
        <w:rPr>
          <w:rFonts w:eastAsia="Calibri"/>
          <w:noProof/>
          <w:lang w:val="en-US" w:eastAsia="en-US"/>
        </w:rPr>
        <w:t>. The reform of the rules of procedure of both the Congress and the Senate to strengthen penalties for the failure to submit asset declarations or for providing false or incomplete information, as envisaged by the Democracy Action Plan</w:t>
      </w:r>
      <w:r w:rsidR="00933ED2" w:rsidRPr="3AE059E3">
        <w:rPr>
          <w:rFonts w:eastAsia="Calibri"/>
          <w:noProof/>
          <w:vertAlign w:val="superscript"/>
          <w:lang w:val="en-US" w:eastAsia="en-US"/>
        </w:rPr>
        <w:footnoteReference w:id="113"/>
      </w:r>
      <w:r w:rsidRPr="3AE059E3">
        <w:rPr>
          <w:rFonts w:eastAsia="Calibri"/>
          <w:noProof/>
          <w:lang w:val="en-US" w:eastAsia="en-US"/>
        </w:rPr>
        <w:t>, has not been carried out yet</w:t>
      </w:r>
      <w:r w:rsidR="08A09CFF" w:rsidRPr="3AE059E3">
        <w:rPr>
          <w:rFonts w:eastAsia="Calibri"/>
          <w:noProof/>
          <w:lang w:val="en-US" w:eastAsia="en-US"/>
        </w:rPr>
        <w:t xml:space="preserve"> by the </w:t>
      </w:r>
      <w:r w:rsidR="06EDCBAE" w:rsidRPr="3AE059E3">
        <w:rPr>
          <w:rFonts w:eastAsia="Calibri"/>
          <w:noProof/>
          <w:lang w:val="en-US" w:eastAsia="en-US"/>
        </w:rPr>
        <w:t>Senate and the C</w:t>
      </w:r>
      <w:r w:rsidR="16643D61" w:rsidRPr="3AE059E3">
        <w:rPr>
          <w:rFonts w:eastAsia="Calibri"/>
          <w:noProof/>
          <w:lang w:val="en-US" w:eastAsia="en-US"/>
        </w:rPr>
        <w:t>ongress</w:t>
      </w:r>
      <w:r w:rsidRPr="3AE059E3">
        <w:rPr>
          <w:rFonts w:eastAsia="Calibri"/>
          <w:noProof/>
          <w:lang w:val="en-US" w:eastAsia="en-US"/>
        </w:rPr>
        <w:t>. The amendment proposed in May 2025 to regulate interest groups and breaches by parliamentarians and parliamentary groups is pending in Parliament</w:t>
      </w:r>
      <w:r w:rsidR="00933ED2" w:rsidRPr="3AE059E3">
        <w:rPr>
          <w:rFonts w:eastAsia="Calibri"/>
          <w:noProof/>
          <w:vertAlign w:val="superscript"/>
          <w:lang w:val="en-US" w:eastAsia="en-US"/>
        </w:rPr>
        <w:footnoteReference w:id="114"/>
      </w:r>
      <w:r w:rsidRPr="3AE059E3">
        <w:rPr>
          <w:rFonts w:eastAsia="Calibri"/>
          <w:noProof/>
          <w:lang w:val="en-US" w:eastAsia="en-US"/>
        </w:rPr>
        <w:t xml:space="preserve">. Overall, given that the </w:t>
      </w:r>
      <w:r w:rsidR="00ED108C">
        <w:rPr>
          <w:rFonts w:eastAsia="Calibri"/>
          <w:noProof/>
          <w:lang w:val="en-US" w:eastAsia="en-US"/>
        </w:rPr>
        <w:t xml:space="preserve">preliminary </w:t>
      </w:r>
      <w:r w:rsidRPr="3AE059E3">
        <w:rPr>
          <w:rFonts w:eastAsia="Calibri"/>
          <w:noProof/>
          <w:lang w:val="en-US" w:eastAsia="en-US"/>
        </w:rPr>
        <w:t>draft Organic Law on Public Integrity has been tabled and the State Anti-Corruption Plan adopted, but practical implementation of the existing rules has not improved, there has been limited progress on this recommendation.</w:t>
      </w:r>
    </w:p>
    <w:p w14:paraId="3287039B" w14:textId="77777777" w:rsidR="00933ED2" w:rsidRPr="00933ED2" w:rsidRDefault="00933ED2" w:rsidP="00933ED2">
      <w:pPr>
        <w:rPr>
          <w:rFonts w:eastAsia="Calibri"/>
          <w:noProof/>
          <w:szCs w:val="22"/>
          <w:lang w:val="en-US" w:eastAsia="en-US"/>
        </w:rPr>
      </w:pPr>
      <w:bookmarkStart w:id="17" w:name="_Hlk195546620"/>
      <w:bookmarkStart w:id="18" w:name="_Hlk223445021"/>
      <w:r w:rsidRPr="00933ED2">
        <w:rPr>
          <w:rFonts w:eastAsia="Calibri"/>
          <w:b/>
          <w:bCs/>
          <w:noProof/>
          <w:szCs w:val="22"/>
          <w:lang w:val="en-US" w:eastAsia="en-US"/>
        </w:rPr>
        <w:t xml:space="preserve">There has been limited progress on the recommendation on lobbying, as the draft Law on the Transparency and Integrity of the Activities of Interest Groups </w:t>
      </w:r>
      <w:bookmarkEnd w:id="17"/>
      <w:r w:rsidRPr="00933ED2">
        <w:rPr>
          <w:rFonts w:eastAsia="Calibri"/>
          <w:b/>
          <w:bCs/>
          <w:noProof/>
          <w:szCs w:val="22"/>
          <w:lang w:val="en-US" w:eastAsia="en-US"/>
        </w:rPr>
        <w:t>has not yet been adopted</w:t>
      </w:r>
      <w:bookmarkEnd w:id="18"/>
      <w:r w:rsidRPr="00933ED2">
        <w:rPr>
          <w:rFonts w:eastAsia="Calibri"/>
          <w:b/>
          <w:bCs/>
          <w:noProof/>
          <w:szCs w:val="22"/>
          <w:lang w:val="en-US" w:eastAsia="en-US"/>
        </w:rPr>
        <w:t xml:space="preserve"> by Parliament</w:t>
      </w:r>
      <w:r w:rsidRPr="00933ED2">
        <w:rPr>
          <w:rFonts w:eastAsia="Calibri"/>
          <w:b/>
          <w:bCs/>
          <w:noProof/>
          <w:szCs w:val="22"/>
          <w:vertAlign w:val="superscript"/>
          <w:lang w:val="en-US" w:eastAsia="en-US"/>
        </w:rPr>
        <w:footnoteReference w:id="115"/>
      </w:r>
      <w:r w:rsidRPr="00933ED2">
        <w:rPr>
          <w:rFonts w:eastAsia="Calibri"/>
          <w:b/>
          <w:bCs/>
          <w:noProof/>
          <w:szCs w:val="22"/>
          <w:lang w:val="en-US" w:eastAsia="en-US"/>
        </w:rPr>
        <w:t>.</w:t>
      </w:r>
      <w:r w:rsidRPr="00933ED2">
        <w:rPr>
          <w:rFonts w:eastAsia="Calibri"/>
          <w:noProof/>
          <w:szCs w:val="22"/>
          <w:lang w:val="en-US" w:eastAsia="en-US"/>
        </w:rPr>
        <w:t xml:space="preserve"> The draft transparency law, introducing a broad definition of what constitutes a group of interest and influence activities and establishing a mandatory public register of interest groups, as well as a Code of Conduct for interest groups and their members</w:t>
      </w:r>
      <w:r w:rsidRPr="00933ED2">
        <w:rPr>
          <w:rFonts w:eastAsia="Calibri"/>
          <w:noProof/>
          <w:szCs w:val="22"/>
          <w:vertAlign w:val="superscript"/>
          <w:lang w:val="en-US" w:eastAsia="en-US"/>
        </w:rPr>
        <w:footnoteReference w:id="116"/>
      </w:r>
      <w:r w:rsidRPr="00933ED2">
        <w:rPr>
          <w:rFonts w:eastAsia="Calibri"/>
          <w:noProof/>
          <w:szCs w:val="22"/>
          <w:lang w:val="en-US" w:eastAsia="en-US"/>
        </w:rPr>
        <w:t>, is still under discussion in Parliament</w:t>
      </w:r>
      <w:r w:rsidRPr="00933ED2">
        <w:rPr>
          <w:rFonts w:eastAsia="Calibri"/>
          <w:noProof/>
          <w:szCs w:val="22"/>
          <w:vertAlign w:val="superscript"/>
          <w:lang w:val="en-US" w:eastAsia="en-US"/>
        </w:rPr>
        <w:footnoteReference w:id="117"/>
      </w:r>
      <w:r w:rsidRPr="00933ED2">
        <w:rPr>
          <w:rFonts w:eastAsia="Calibri"/>
          <w:noProof/>
          <w:szCs w:val="22"/>
          <w:lang w:val="en-US" w:eastAsia="en-US"/>
        </w:rPr>
        <w:t xml:space="preserve">. </w:t>
      </w:r>
      <w:bookmarkStart w:id="19" w:name="_Hlk223520581"/>
      <w:r w:rsidRPr="00933ED2">
        <w:rPr>
          <w:rFonts w:eastAsia="Calibri"/>
          <w:noProof/>
          <w:szCs w:val="22"/>
          <w:lang w:val="en-US" w:eastAsia="en-US"/>
        </w:rPr>
        <w:t>This reform is included in the Recovery and Resilience Plan as part of steps to modernise and digitalise the public administration</w:t>
      </w:r>
      <w:r w:rsidRPr="00933ED2">
        <w:rPr>
          <w:rFonts w:eastAsia="Calibri"/>
          <w:noProof/>
          <w:szCs w:val="22"/>
          <w:vertAlign w:val="superscript"/>
          <w:lang w:val="en-US" w:eastAsia="en-US"/>
        </w:rPr>
        <w:footnoteReference w:id="118"/>
      </w:r>
      <w:r w:rsidRPr="00933ED2">
        <w:rPr>
          <w:rFonts w:eastAsia="Calibri"/>
          <w:noProof/>
          <w:szCs w:val="22"/>
          <w:lang w:val="en-US" w:eastAsia="en-US"/>
        </w:rPr>
        <w:t>. While there was a modest increase in the number of parliamentarians reporting meetings with interest representatives in 2025 compared to 2024, the overall compliance with the rules remains low</w:t>
      </w:r>
      <w:r w:rsidRPr="00933ED2">
        <w:rPr>
          <w:rFonts w:eastAsia="Calibri"/>
          <w:noProof/>
          <w:szCs w:val="22"/>
          <w:vertAlign w:val="superscript"/>
          <w:lang w:val="en-US" w:eastAsia="en-US"/>
        </w:rPr>
        <w:footnoteReference w:id="119"/>
      </w:r>
      <w:r w:rsidRPr="00933ED2">
        <w:rPr>
          <w:rFonts w:eastAsia="Calibri"/>
          <w:noProof/>
          <w:szCs w:val="22"/>
          <w:lang w:val="en-US" w:eastAsia="en-US"/>
        </w:rPr>
        <w:t>. Civil society notes that the current transparency portal and voluntary lobby registers remain fragmented and ineffective</w:t>
      </w:r>
      <w:bookmarkEnd w:id="19"/>
      <w:r w:rsidRPr="00933ED2">
        <w:rPr>
          <w:rFonts w:eastAsia="Calibri"/>
          <w:noProof/>
          <w:szCs w:val="22"/>
          <w:vertAlign w:val="superscript"/>
          <w:lang w:val="en-US" w:eastAsia="en-US"/>
        </w:rPr>
        <w:footnoteReference w:id="120"/>
      </w:r>
      <w:r w:rsidRPr="00933ED2">
        <w:rPr>
          <w:rFonts w:eastAsia="Calibri"/>
          <w:noProof/>
          <w:szCs w:val="22"/>
          <w:lang w:val="en-US" w:eastAsia="en-US"/>
        </w:rPr>
        <w:t xml:space="preserve">. As the legislative process is still ongoing, there has been limited progress on this recommendation. </w:t>
      </w:r>
    </w:p>
    <w:p w14:paraId="00A21CB1" w14:textId="37B012F6" w:rsidR="00933ED2" w:rsidRPr="00933ED2" w:rsidRDefault="00933ED2" w:rsidP="00933ED2">
      <w:pPr>
        <w:rPr>
          <w:rFonts w:eastAsia="Calibri"/>
          <w:noProof/>
          <w:szCs w:val="22"/>
          <w:lang w:val="en-US" w:eastAsia="en-US"/>
        </w:rPr>
      </w:pPr>
      <w:r w:rsidRPr="00933ED2">
        <w:rPr>
          <w:rFonts w:eastAsia="Calibri"/>
          <w:b/>
          <w:bCs/>
          <w:noProof/>
          <w:szCs w:val="22"/>
          <w:lang w:val="en-US" w:eastAsia="en-US"/>
        </w:rPr>
        <w:t>Shortcomings</w:t>
      </w:r>
      <w:r w:rsidRPr="00933ED2">
        <w:rPr>
          <w:rFonts w:eastAsia="Calibri"/>
          <w:b/>
          <w:noProof/>
          <w:szCs w:val="22"/>
          <w:lang w:val="en-US" w:eastAsia="en-US"/>
        </w:rPr>
        <w:t xml:space="preserve"> remain regarding compliance with </w:t>
      </w:r>
      <w:r w:rsidRPr="00933ED2">
        <w:rPr>
          <w:rFonts w:eastAsia="Calibri"/>
          <w:b/>
          <w:bCs/>
          <w:noProof/>
          <w:szCs w:val="22"/>
          <w:lang w:val="en-US" w:eastAsia="en-US"/>
        </w:rPr>
        <w:t>transparency obligations related to political party financing.</w:t>
      </w:r>
      <w:r w:rsidRPr="00933ED2">
        <w:rPr>
          <w:rFonts w:eastAsia="Calibri"/>
          <w:noProof/>
          <w:szCs w:val="22"/>
          <w:lang w:val="en-US" w:eastAsia="en-US"/>
        </w:rPr>
        <w:t xml:space="preserve"> In its 2025 audit</w:t>
      </w:r>
      <w:r w:rsidRPr="00933ED2">
        <w:rPr>
          <w:rFonts w:eastAsia="Calibri"/>
          <w:noProof/>
          <w:szCs w:val="22"/>
          <w:vertAlign w:val="superscript"/>
          <w:lang w:val="en-US" w:eastAsia="en-US"/>
        </w:rPr>
        <w:footnoteReference w:id="121"/>
      </w:r>
      <w:r w:rsidRPr="00933ED2">
        <w:rPr>
          <w:rFonts w:eastAsia="Calibri"/>
          <w:noProof/>
          <w:szCs w:val="22"/>
          <w:lang w:val="en-US" w:eastAsia="en-US"/>
        </w:rPr>
        <w:t>, the Court of Auditors examined the compliance of political parties with transparency obligations related to economic-financial, organisational and regulatory information published on party websites. The audit found persistent deficiencies in accessibility, visibility and timeliness of published information</w:t>
      </w:r>
      <w:r w:rsidRPr="00933ED2">
        <w:rPr>
          <w:rFonts w:eastAsia="Calibri"/>
          <w:noProof/>
          <w:szCs w:val="22"/>
          <w:vertAlign w:val="superscript"/>
          <w:lang w:val="en-US" w:eastAsia="en-US"/>
        </w:rPr>
        <w:footnoteReference w:id="122"/>
      </w:r>
      <w:r w:rsidRPr="00933ED2">
        <w:rPr>
          <w:rFonts w:eastAsia="Calibri"/>
          <w:noProof/>
          <w:szCs w:val="22"/>
          <w:lang w:val="en-US" w:eastAsia="en-US"/>
        </w:rPr>
        <w:t>. Moreover, previously reported shortcomings remain as regards campaign funding, notably concerning loopholes in the delineation between ordinary and electoral funding, corporate donations in electoral campaigns, donation limits and traceability requirements, as well as transparency and audit controls over political party financing</w:t>
      </w:r>
      <w:r w:rsidRPr="00933ED2">
        <w:rPr>
          <w:rFonts w:eastAsia="Calibri"/>
          <w:noProof/>
          <w:szCs w:val="22"/>
          <w:vertAlign w:val="superscript"/>
          <w:lang w:val="en-US" w:eastAsia="en-US"/>
        </w:rPr>
        <w:footnoteReference w:id="123"/>
      </w:r>
      <w:r w:rsidRPr="00933ED2">
        <w:rPr>
          <w:rFonts w:eastAsia="Calibri"/>
          <w:noProof/>
          <w:szCs w:val="22"/>
          <w:lang w:val="en-US" w:eastAsia="en-US"/>
        </w:rPr>
        <w:t>.</w:t>
      </w:r>
      <w:bookmarkStart w:id="20" w:name="_Hlk223444988"/>
      <w:bookmarkStart w:id="21" w:name="_Hlk223530611"/>
      <w:bookmarkEnd w:id="15"/>
      <w:r w:rsidR="00A52CEA">
        <w:rPr>
          <w:rFonts w:eastAsia="Calibri"/>
          <w:noProof/>
          <w:szCs w:val="22"/>
          <w:lang w:val="en-US" w:eastAsia="en-US"/>
        </w:rPr>
        <w:t xml:space="preserve"> </w:t>
      </w:r>
      <w:r w:rsidR="00A52CEA" w:rsidRPr="00A52CEA">
        <w:rPr>
          <w:rFonts w:eastAsia="Calibri"/>
          <w:noProof/>
          <w:szCs w:val="22"/>
          <w:lang w:val="en-US" w:eastAsia="en-US"/>
        </w:rPr>
        <w:t xml:space="preserve">The Government has started the procedure </w:t>
      </w:r>
      <w:r w:rsidR="009B71DB">
        <w:rPr>
          <w:rFonts w:eastAsia="Calibri"/>
          <w:noProof/>
          <w:szCs w:val="22"/>
          <w:lang w:val="en-US" w:eastAsia="en-US"/>
        </w:rPr>
        <w:t>to</w:t>
      </w:r>
      <w:r w:rsidR="00A52CEA" w:rsidRPr="00A52CEA">
        <w:rPr>
          <w:rFonts w:eastAsia="Calibri"/>
          <w:noProof/>
          <w:szCs w:val="22"/>
          <w:lang w:val="en-US" w:eastAsia="en-US"/>
        </w:rPr>
        <w:t xml:space="preserve"> modify the Organic Law on the Financing of Political Parties, to address the deficiencies highlighted by the Court of Auditors</w:t>
      </w:r>
      <w:r w:rsidR="00126DF2">
        <w:rPr>
          <w:rStyle w:val="FootnoteReference"/>
          <w:rFonts w:eastAsia="Calibri"/>
          <w:noProof/>
          <w:szCs w:val="22"/>
          <w:lang w:val="en-US" w:eastAsia="en-US"/>
        </w:rPr>
        <w:footnoteReference w:id="124"/>
      </w:r>
      <w:r w:rsidR="00A52CEA" w:rsidRPr="00A52CEA">
        <w:rPr>
          <w:rFonts w:eastAsia="Calibri"/>
          <w:noProof/>
          <w:szCs w:val="22"/>
          <w:lang w:val="en-US" w:eastAsia="en-US"/>
        </w:rPr>
        <w:t>.</w:t>
      </w:r>
    </w:p>
    <w:p w14:paraId="66335B6F" w14:textId="50F5877F" w:rsidR="00933ED2" w:rsidRPr="00933ED2" w:rsidRDefault="00933ED2" w:rsidP="00933ED2">
      <w:pPr>
        <w:rPr>
          <w:rFonts w:eastAsia="Calibri"/>
          <w:bCs/>
          <w:noProof/>
          <w:szCs w:val="24"/>
          <w:lang w:val="en-US" w:eastAsia="en-US"/>
        </w:rPr>
      </w:pPr>
      <w:r w:rsidRPr="00933ED2">
        <w:rPr>
          <w:rFonts w:eastAsia="Calibri"/>
          <w:b/>
          <w:bCs/>
          <w:noProof/>
          <w:szCs w:val="22"/>
          <w:lang w:val="en-US" w:eastAsia="en-US"/>
        </w:rPr>
        <w:t xml:space="preserve">The Independent Authority for Whistleblower Protection (AIPI) started operating </w:t>
      </w:r>
      <w:bookmarkStart w:id="22" w:name="_Hlk223445953"/>
      <w:r w:rsidRPr="00933ED2">
        <w:rPr>
          <w:rFonts w:eastAsia="Calibri"/>
          <w:b/>
          <w:bCs/>
          <w:noProof/>
          <w:szCs w:val="22"/>
          <w:lang w:val="en-US" w:eastAsia="en-US"/>
        </w:rPr>
        <w:t>with some budgetary and staffing constraint</w:t>
      </w:r>
      <w:r w:rsidRPr="00B10DAE">
        <w:rPr>
          <w:rFonts w:eastAsia="Calibri"/>
          <w:b/>
          <w:bCs/>
          <w:noProof/>
          <w:szCs w:val="22"/>
          <w:lang w:val="en-US" w:eastAsia="en-US"/>
        </w:rPr>
        <w:t>s</w:t>
      </w:r>
      <w:r w:rsidRPr="00933ED2">
        <w:rPr>
          <w:rFonts w:eastAsia="Calibri"/>
          <w:noProof/>
          <w:szCs w:val="22"/>
          <w:lang w:val="en-US" w:eastAsia="en-US"/>
        </w:rPr>
        <w:t>.</w:t>
      </w:r>
      <w:bookmarkEnd w:id="20"/>
      <w:r w:rsidRPr="00933ED2">
        <w:rPr>
          <w:rFonts w:eastAsia="Calibri"/>
          <w:noProof/>
          <w:szCs w:val="22"/>
          <w:lang w:val="en-US" w:eastAsia="en-US"/>
        </w:rPr>
        <w:t xml:space="preserve"> </w:t>
      </w:r>
      <w:bookmarkEnd w:id="22"/>
      <w:r w:rsidR="00AB7B08">
        <w:rPr>
          <w:rFonts w:eastAsia="Calibri"/>
          <w:noProof/>
          <w:szCs w:val="22"/>
          <w:lang w:val="en-US" w:eastAsia="en-US"/>
        </w:rPr>
        <w:t xml:space="preserve">These </w:t>
      </w:r>
      <w:r w:rsidR="00B51A71">
        <w:rPr>
          <w:rFonts w:eastAsia="Calibri"/>
          <w:noProof/>
          <w:szCs w:val="22"/>
          <w:lang w:val="en-US" w:eastAsia="en-US"/>
        </w:rPr>
        <w:t xml:space="preserve">limitations </w:t>
      </w:r>
      <w:r w:rsidR="00AB7B08">
        <w:rPr>
          <w:rFonts w:eastAsia="Calibri"/>
          <w:noProof/>
          <w:szCs w:val="22"/>
          <w:lang w:val="en-US" w:eastAsia="en-US"/>
        </w:rPr>
        <w:t xml:space="preserve">may be </w:t>
      </w:r>
      <w:r w:rsidR="00B51A71">
        <w:rPr>
          <w:rFonts w:eastAsia="Calibri"/>
          <w:noProof/>
          <w:szCs w:val="22"/>
          <w:lang w:val="en-US" w:eastAsia="en-US"/>
        </w:rPr>
        <w:t>partially</w:t>
      </w:r>
      <w:r w:rsidR="00854471">
        <w:rPr>
          <w:rFonts w:eastAsia="Calibri"/>
          <w:noProof/>
          <w:szCs w:val="22"/>
          <w:lang w:val="en-US" w:eastAsia="en-US"/>
        </w:rPr>
        <w:t xml:space="preserve"> </w:t>
      </w:r>
      <w:r w:rsidR="00B51A71">
        <w:rPr>
          <w:rFonts w:eastAsia="Calibri"/>
          <w:noProof/>
          <w:szCs w:val="22"/>
          <w:lang w:val="en-US" w:eastAsia="en-US"/>
        </w:rPr>
        <w:t xml:space="preserve">linked </w:t>
      </w:r>
      <w:r w:rsidR="00AB7B08">
        <w:rPr>
          <w:rFonts w:eastAsia="Calibri"/>
          <w:noProof/>
          <w:szCs w:val="22"/>
          <w:lang w:val="en-US" w:eastAsia="en-US"/>
        </w:rPr>
        <w:t xml:space="preserve">to the </w:t>
      </w:r>
      <w:r w:rsidR="00B51A71">
        <w:rPr>
          <w:rFonts w:eastAsia="Calibri"/>
          <w:noProof/>
          <w:szCs w:val="22"/>
          <w:lang w:val="en-US" w:eastAsia="en-US"/>
        </w:rPr>
        <w:t xml:space="preserve">Authority’s recent start of operations </w:t>
      </w:r>
      <w:r w:rsidRPr="00933ED2">
        <w:rPr>
          <w:rFonts w:eastAsia="Calibri"/>
          <w:noProof/>
          <w:szCs w:val="22"/>
          <w:lang w:val="en-US" w:eastAsia="en-US"/>
        </w:rPr>
        <w:t>in September 2025</w:t>
      </w:r>
      <w:r w:rsidR="00801669">
        <w:rPr>
          <w:rStyle w:val="FootnoteReference"/>
          <w:rFonts w:eastAsia="Calibri"/>
          <w:noProof/>
          <w:szCs w:val="22"/>
          <w:lang w:val="en-US" w:eastAsia="en-US"/>
        </w:rPr>
        <w:footnoteReference w:id="125"/>
      </w:r>
      <w:r w:rsidRPr="00933ED2">
        <w:rPr>
          <w:rFonts w:eastAsia="Calibri"/>
          <w:noProof/>
          <w:szCs w:val="22"/>
          <w:lang w:val="en-US" w:eastAsia="en-US"/>
        </w:rPr>
        <w:t>. In the absence of agreement in Parliament to adopt the State budget, the Authority meets its operating needs thanks to a temporary budgetary arrangement</w:t>
      </w:r>
      <w:r w:rsidRPr="00933ED2">
        <w:rPr>
          <w:rFonts w:eastAsia="Calibri"/>
          <w:noProof/>
          <w:szCs w:val="22"/>
          <w:vertAlign w:val="superscript"/>
          <w:lang w:val="en-US" w:eastAsia="en-US"/>
        </w:rPr>
        <w:footnoteReference w:id="126"/>
      </w:r>
      <w:r w:rsidRPr="00933ED2">
        <w:rPr>
          <w:rFonts w:eastAsia="Calibri"/>
          <w:noProof/>
          <w:szCs w:val="22"/>
          <w:lang w:val="en-US" w:eastAsia="en-US"/>
        </w:rPr>
        <w:t>. The Authority has 2</w:t>
      </w:r>
      <w:r w:rsidR="006D6B3F">
        <w:rPr>
          <w:rFonts w:eastAsia="Calibri"/>
          <w:noProof/>
          <w:szCs w:val="22"/>
          <w:lang w:val="en-US" w:eastAsia="en-US"/>
        </w:rPr>
        <w:t>3</w:t>
      </w:r>
      <w:r w:rsidRPr="00933ED2">
        <w:rPr>
          <w:rFonts w:eastAsia="Calibri"/>
          <w:noProof/>
          <w:szCs w:val="22"/>
          <w:lang w:val="en-US" w:eastAsia="en-US"/>
        </w:rPr>
        <w:t xml:space="preserve"> official posts, of which 14 are filled. AIPI considers its budget and staffing levels insufficient for the growing workload – since September 2025, the Authority has received over 400 reports (about four daily) and issued over 20 protection certificates</w:t>
      </w:r>
      <w:r w:rsidRPr="00933ED2">
        <w:rPr>
          <w:rFonts w:eastAsia="Calibri"/>
          <w:noProof/>
          <w:szCs w:val="22"/>
          <w:vertAlign w:val="superscript"/>
          <w:lang w:val="en-US" w:eastAsia="en-US"/>
        </w:rPr>
        <w:footnoteReference w:id="127"/>
      </w:r>
      <w:r w:rsidRPr="00933ED2">
        <w:rPr>
          <w:rFonts w:eastAsia="Calibri"/>
          <w:noProof/>
          <w:szCs w:val="22"/>
          <w:lang w:val="en-US" w:eastAsia="en-US"/>
        </w:rPr>
        <w:t xml:space="preserve">. In addition, the institutional complexity is increased by the existence of regional authorities for whistleblower protection in eight </w:t>
      </w:r>
      <w:r w:rsidR="00711E20">
        <w:rPr>
          <w:rFonts w:eastAsia="Calibri"/>
          <w:noProof/>
          <w:szCs w:val="22"/>
          <w:lang w:val="en-US" w:eastAsia="en-US"/>
        </w:rPr>
        <w:t>regions</w:t>
      </w:r>
      <w:r w:rsidRPr="00933ED2">
        <w:rPr>
          <w:rFonts w:eastAsia="Calibri"/>
          <w:noProof/>
          <w:szCs w:val="22"/>
          <w:vertAlign w:val="superscript"/>
          <w:lang w:val="en-US" w:eastAsia="en-US"/>
        </w:rPr>
        <w:footnoteReference w:id="128"/>
      </w:r>
      <w:r w:rsidRPr="00933ED2">
        <w:rPr>
          <w:rFonts w:eastAsia="Calibri"/>
          <w:noProof/>
          <w:szCs w:val="22"/>
          <w:lang w:val="en-US" w:eastAsia="en-US"/>
        </w:rPr>
        <w:t>. These bodies differ in their legal nature and scope, depending on the competences conferred by their respective regulatory frameworks</w:t>
      </w:r>
      <w:r w:rsidRPr="00933ED2">
        <w:rPr>
          <w:rFonts w:eastAsia="Calibri"/>
          <w:noProof/>
          <w:szCs w:val="22"/>
          <w:vertAlign w:val="superscript"/>
          <w:lang w:val="en-US" w:eastAsia="en-US"/>
        </w:rPr>
        <w:footnoteReference w:id="129"/>
      </w:r>
      <w:r w:rsidRPr="00933ED2">
        <w:rPr>
          <w:rFonts w:eastAsia="Calibri"/>
          <w:noProof/>
          <w:szCs w:val="22"/>
          <w:lang w:val="en-US" w:eastAsia="en-US"/>
        </w:rPr>
        <w:t>. Civil society has noted a number of possible shortcomings as regards support services for whistleblowers</w:t>
      </w:r>
      <w:r w:rsidRPr="00933ED2">
        <w:rPr>
          <w:rFonts w:eastAsia="Calibri"/>
          <w:noProof/>
          <w:szCs w:val="22"/>
          <w:vertAlign w:val="superscript"/>
          <w:lang w:val="en-US" w:eastAsia="en-US"/>
        </w:rPr>
        <w:footnoteReference w:id="130"/>
      </w:r>
      <w:r w:rsidRPr="00933ED2">
        <w:rPr>
          <w:rFonts w:eastAsia="Calibri"/>
          <w:noProof/>
          <w:szCs w:val="22"/>
          <w:lang w:val="en-US" w:eastAsia="en-US"/>
        </w:rPr>
        <w:t xml:space="preserve">. </w:t>
      </w:r>
    </w:p>
    <w:p w14:paraId="5B47A6D0" w14:textId="7CC1CAF3" w:rsidR="00933ED2" w:rsidRPr="00933ED2" w:rsidRDefault="00933ED2" w:rsidP="00933ED2">
      <w:pPr>
        <w:rPr>
          <w:rFonts w:eastAsiaTheme="minorHAnsi" w:cstheme="minorBidi"/>
          <w:noProof/>
          <w:szCs w:val="22"/>
          <w:lang w:eastAsia="fr-FR"/>
        </w:rPr>
      </w:pPr>
      <w:bookmarkStart w:id="23" w:name="_Hlk223526184"/>
      <w:bookmarkStart w:id="24" w:name="_Hlk223530662"/>
      <w:bookmarkEnd w:id="21"/>
      <w:r w:rsidRPr="00933ED2">
        <w:rPr>
          <w:rFonts w:eastAsia="Calibri" w:cstheme="minorBidi"/>
          <w:b/>
          <w:noProof/>
          <w:szCs w:val="22"/>
          <w:lang w:val="en-US" w:eastAsia="en-US"/>
        </w:rPr>
        <w:t xml:space="preserve">Public procurement </w:t>
      </w:r>
      <w:r w:rsidRPr="00933ED2" w:rsidDel="009C73BA">
        <w:rPr>
          <w:rFonts w:eastAsia="Calibri" w:cstheme="minorBidi"/>
          <w:b/>
          <w:noProof/>
          <w:szCs w:val="22"/>
          <w:lang w:val="en-US" w:eastAsia="en-US"/>
        </w:rPr>
        <w:t>remains</w:t>
      </w:r>
      <w:r w:rsidRPr="00933ED2">
        <w:rPr>
          <w:rFonts w:eastAsia="Calibri" w:cstheme="minorBidi"/>
          <w:b/>
          <w:noProof/>
          <w:szCs w:val="22"/>
          <w:lang w:val="en-US" w:eastAsia="en-US"/>
        </w:rPr>
        <w:t xml:space="preserve"> a</w:t>
      </w:r>
      <w:r w:rsidR="00CA5AF5">
        <w:rPr>
          <w:rFonts w:eastAsia="Calibri" w:cstheme="minorBidi"/>
          <w:b/>
          <w:noProof/>
          <w:szCs w:val="22"/>
          <w:lang w:val="en-US" w:eastAsia="en-US"/>
        </w:rPr>
        <w:t>n</w:t>
      </w:r>
      <w:r w:rsidRPr="00933ED2" w:rsidDel="00A21ECC">
        <w:rPr>
          <w:rFonts w:eastAsia="Calibri" w:cstheme="minorBidi"/>
          <w:b/>
          <w:noProof/>
          <w:szCs w:val="22"/>
          <w:lang w:val="en-US" w:eastAsia="en-US"/>
        </w:rPr>
        <w:t xml:space="preserve"> </w:t>
      </w:r>
      <w:r w:rsidRPr="00933ED2">
        <w:rPr>
          <w:rFonts w:eastAsia="Calibri" w:cstheme="minorBidi"/>
          <w:b/>
          <w:noProof/>
          <w:szCs w:val="22"/>
          <w:lang w:val="en-US" w:eastAsia="en-US"/>
        </w:rPr>
        <w:t xml:space="preserve">area </w:t>
      </w:r>
      <w:r w:rsidR="002435B8">
        <w:rPr>
          <w:rFonts w:eastAsia="Calibri" w:cstheme="minorBidi"/>
          <w:b/>
          <w:noProof/>
          <w:szCs w:val="22"/>
          <w:lang w:val="en-US" w:eastAsia="en-US"/>
        </w:rPr>
        <w:t xml:space="preserve">vulnerable to </w:t>
      </w:r>
      <w:r w:rsidRPr="00933ED2">
        <w:rPr>
          <w:rFonts w:eastAsia="Calibri" w:cstheme="minorBidi"/>
          <w:b/>
          <w:noProof/>
          <w:szCs w:val="22"/>
          <w:lang w:val="en-US" w:eastAsia="en-US"/>
        </w:rPr>
        <w:t>corruption</w:t>
      </w:r>
      <w:r w:rsidR="00CB20F5" w:rsidDel="00A21ECC">
        <w:rPr>
          <w:rFonts w:eastAsia="Calibri" w:cstheme="minorBidi"/>
          <w:b/>
          <w:noProof/>
          <w:szCs w:val="22"/>
          <w:lang w:val="en-US" w:eastAsia="en-US"/>
        </w:rPr>
        <w:t xml:space="preserve"> risks</w:t>
      </w:r>
      <w:r w:rsidRPr="00933ED2">
        <w:rPr>
          <w:rFonts w:eastAsia="Calibri" w:cstheme="minorBidi"/>
          <w:b/>
          <w:noProof/>
          <w:szCs w:val="22"/>
          <w:lang w:val="en-US" w:eastAsia="en-US"/>
        </w:rPr>
        <w:t>.</w:t>
      </w:r>
      <w:bookmarkEnd w:id="23"/>
      <w:r w:rsidRPr="00933ED2">
        <w:rPr>
          <w:rFonts w:eastAsia="Calibri" w:cstheme="minorBidi"/>
          <w:bCs/>
          <w:noProof/>
          <w:szCs w:val="22"/>
          <w:lang w:val="en-US" w:eastAsia="en-US"/>
        </w:rPr>
        <w:t xml:space="preserve"> </w:t>
      </w:r>
      <w:r w:rsidRPr="00933ED2">
        <w:rPr>
          <w:rFonts w:eastAsia="Calibri"/>
          <w:noProof/>
          <w:szCs w:val="24"/>
          <w:lang w:eastAsia="fr-FR"/>
        </w:rPr>
        <w:t>Businesses’ attitudes</w:t>
      </w:r>
      <w:r w:rsidRPr="00933ED2">
        <w:rPr>
          <w:rFonts w:eastAsia="Calibri" w:cstheme="minorBidi"/>
          <w:noProof/>
          <w:szCs w:val="22"/>
          <w:lang w:val="en-US" w:eastAsia="en-US"/>
        </w:rPr>
        <w:t xml:space="preserve"> </w:t>
      </w:r>
      <w:r w:rsidRPr="00933ED2">
        <w:rPr>
          <w:rFonts w:eastAsia="Calibri"/>
          <w:noProof/>
          <w:szCs w:val="24"/>
          <w:lang w:eastAsia="fr-FR"/>
        </w:rPr>
        <w:t>towards corruption in the EU show that 40% of companies in Spain (EU average 30%) think that corruption has prevented them from winning a public tender in practice in the last three years</w:t>
      </w:r>
      <w:r w:rsidRPr="00933ED2">
        <w:rPr>
          <w:rFonts w:eastAsia="Calibri"/>
          <w:noProof/>
          <w:szCs w:val="24"/>
          <w:vertAlign w:val="superscript"/>
          <w:lang w:eastAsia="fr-FR"/>
        </w:rPr>
        <w:footnoteReference w:id="131"/>
      </w:r>
      <w:r w:rsidRPr="00933ED2">
        <w:rPr>
          <w:rFonts w:eastAsia="Calibri"/>
          <w:noProof/>
          <w:szCs w:val="24"/>
          <w:lang w:eastAsia="fr-FR"/>
        </w:rPr>
        <w:t>.</w:t>
      </w:r>
      <w:r w:rsidRPr="00933ED2">
        <w:rPr>
          <w:rFonts w:eastAsia="Calibri" w:cstheme="minorBidi"/>
          <w:noProof/>
          <w:szCs w:val="22"/>
          <w:lang w:val="en-US" w:eastAsia="en-US"/>
        </w:rPr>
        <w:t xml:space="preserve"> 44% of businesses perceive the level of independence of the public procurement review body (Central Administrative Court of Contract Appeals) as very or fairly good, which has significantly decreased in comparison with 2025 (61%)</w:t>
      </w:r>
      <w:r w:rsidRPr="00933ED2">
        <w:rPr>
          <w:rFonts w:eastAsia="Calibri" w:cstheme="minorBidi"/>
          <w:noProof/>
          <w:szCs w:val="22"/>
          <w:vertAlign w:val="superscript"/>
          <w:lang w:val="en-US" w:eastAsia="en-US"/>
        </w:rPr>
        <w:footnoteReference w:id="132"/>
      </w:r>
      <w:r w:rsidRPr="00933ED2">
        <w:rPr>
          <w:rFonts w:eastAsia="Calibri" w:cstheme="minorBidi"/>
          <w:noProof/>
          <w:szCs w:val="22"/>
          <w:lang w:val="en-US" w:eastAsia="en-US"/>
        </w:rPr>
        <w:t xml:space="preserve">. </w:t>
      </w:r>
      <w:r w:rsidRPr="00933ED2">
        <w:rPr>
          <w:rFonts w:eastAsia="Calibri"/>
          <w:noProof/>
          <w:szCs w:val="24"/>
          <w:lang w:eastAsia="fr-FR"/>
        </w:rPr>
        <w:t xml:space="preserve">The Single Market and Competitiveness Scoreboard on access to public procurement in Spain reports </w:t>
      </w:r>
      <w:r w:rsidRPr="00933ED2">
        <w:rPr>
          <w:rFonts w:eastAsia="Calibri" w:cstheme="minorBidi"/>
          <w:noProof/>
          <w:szCs w:val="22"/>
          <w:lang w:val="en-US" w:eastAsia="en-US"/>
        </w:rPr>
        <w:t>34 % of single bids for 2025 (EU average 2</w:t>
      </w:r>
      <w:r w:rsidR="00D617CC">
        <w:rPr>
          <w:rFonts w:eastAsia="Calibri" w:cstheme="minorBidi"/>
          <w:noProof/>
          <w:szCs w:val="22"/>
          <w:lang w:val="en-US" w:eastAsia="en-US"/>
        </w:rPr>
        <w:t>7</w:t>
      </w:r>
      <w:r w:rsidRPr="00933ED2">
        <w:rPr>
          <w:rFonts w:eastAsia="Calibri" w:cstheme="minorBidi"/>
          <w:noProof/>
          <w:szCs w:val="22"/>
          <w:lang w:val="en-US" w:eastAsia="en-US"/>
        </w:rPr>
        <w:t>%)</w:t>
      </w:r>
      <w:r w:rsidRPr="00FA5B55" w:rsidDel="00394CDF">
        <w:rPr>
          <w:rFonts w:eastAsia="Calibri"/>
          <w:i/>
          <w:noProof/>
          <w:szCs w:val="24"/>
          <w:lang w:eastAsia="fr-FR"/>
        </w:rPr>
        <w:t>.</w:t>
      </w:r>
      <w:r w:rsidRPr="00933ED2">
        <w:rPr>
          <w:rFonts w:eastAsia="Calibri" w:cstheme="minorBidi"/>
          <w:noProof/>
          <w:szCs w:val="22"/>
          <w:lang w:val="en-US" w:eastAsia="en-US"/>
        </w:rPr>
        <w:t xml:space="preserve"> Civil society notes persistent systemic weaknesses in public procurement in the form of integrity risks, low effective competition, insufficient traceability and poor data reusability</w:t>
      </w:r>
      <w:r w:rsidRPr="00933ED2">
        <w:rPr>
          <w:rFonts w:eastAsia="Calibri" w:cstheme="minorBidi"/>
          <w:noProof/>
          <w:szCs w:val="22"/>
          <w:vertAlign w:val="superscript"/>
          <w:lang w:val="en-US" w:eastAsia="en-US"/>
        </w:rPr>
        <w:footnoteReference w:id="133"/>
      </w:r>
      <w:r w:rsidRPr="00933ED2">
        <w:rPr>
          <w:rFonts w:eastAsia="Calibri" w:cstheme="minorBidi"/>
          <w:noProof/>
          <w:szCs w:val="22"/>
          <w:lang w:val="en-US" w:eastAsia="en-US"/>
        </w:rPr>
        <w:t>. In December 2025, a proposal for a recommendation on public procurement was adopted by the Cooperation Committee</w:t>
      </w:r>
      <w:r w:rsidRPr="00933ED2">
        <w:rPr>
          <w:rFonts w:eastAsia="Calibri" w:cstheme="minorBidi"/>
          <w:noProof/>
          <w:szCs w:val="22"/>
          <w:vertAlign w:val="superscript"/>
          <w:lang w:val="en-US" w:eastAsia="en-US"/>
        </w:rPr>
        <w:footnoteReference w:id="134"/>
      </w:r>
      <w:r w:rsidRPr="00933ED2">
        <w:rPr>
          <w:rFonts w:eastAsia="Calibri" w:cstheme="minorBidi"/>
          <w:noProof/>
          <w:szCs w:val="22"/>
          <w:lang w:val="en-US" w:eastAsia="en-US"/>
        </w:rPr>
        <w:t>, in line with the National Public Procurement Strategy and its objective to prevent, detect and correct fraud, corruption, conflicts of interest and double funding. Additional measures are planned in the preliminary draft Open Administration Law</w:t>
      </w:r>
      <w:r w:rsidRPr="00933ED2">
        <w:rPr>
          <w:rFonts w:eastAsia="Calibri" w:cstheme="minorBidi"/>
          <w:noProof/>
          <w:szCs w:val="22"/>
          <w:vertAlign w:val="superscript"/>
          <w:lang w:val="en-US" w:eastAsia="en-US"/>
        </w:rPr>
        <w:footnoteReference w:id="135"/>
      </w:r>
      <w:r w:rsidRPr="00933ED2">
        <w:rPr>
          <w:rFonts w:eastAsia="Calibri" w:cstheme="minorBidi"/>
          <w:noProof/>
          <w:szCs w:val="22"/>
          <w:lang w:val="en-US" w:eastAsia="en-US"/>
        </w:rPr>
        <w:t>. The Independent Office on Supervision of Public Procurement notes that, as in previous years, contracts for the provision of services remain the most affected by corruption and anti-competitive practices</w:t>
      </w:r>
      <w:r w:rsidRPr="00933ED2">
        <w:rPr>
          <w:rFonts w:eastAsia="Calibri" w:cstheme="minorBidi"/>
          <w:noProof/>
          <w:szCs w:val="22"/>
          <w:vertAlign w:val="superscript"/>
          <w:lang w:val="en-US" w:eastAsia="en-US"/>
        </w:rPr>
        <w:footnoteReference w:id="136"/>
      </w:r>
      <w:r w:rsidRPr="00933ED2">
        <w:rPr>
          <w:rFonts w:eastAsia="Calibri" w:cstheme="minorBidi"/>
          <w:noProof/>
          <w:szCs w:val="22"/>
          <w:lang w:val="en-US" w:eastAsia="en-US"/>
        </w:rPr>
        <w:t xml:space="preserve">. The Office recommends </w:t>
      </w:r>
      <w:r w:rsidR="007556EC">
        <w:rPr>
          <w:rFonts w:eastAsia="Calibri" w:cstheme="minorBidi"/>
          <w:noProof/>
          <w:szCs w:val="22"/>
          <w:lang w:val="en-US" w:eastAsia="en-US"/>
        </w:rPr>
        <w:t>better</w:t>
      </w:r>
      <w:r w:rsidRPr="00933ED2">
        <w:rPr>
          <w:rFonts w:eastAsia="Calibri" w:cstheme="minorBidi"/>
          <w:noProof/>
          <w:szCs w:val="22"/>
          <w:lang w:val="en-US" w:eastAsia="en-US"/>
        </w:rPr>
        <w:t xml:space="preserve"> training</w:t>
      </w:r>
      <w:r w:rsidR="007556EC">
        <w:rPr>
          <w:rFonts w:eastAsia="Calibri" w:cstheme="minorBidi"/>
          <w:noProof/>
          <w:szCs w:val="22"/>
          <w:lang w:val="en-US" w:eastAsia="en-US"/>
        </w:rPr>
        <w:t>,</w:t>
      </w:r>
      <w:r w:rsidRPr="00933ED2">
        <w:rPr>
          <w:rFonts w:eastAsia="Calibri" w:cstheme="minorBidi"/>
          <w:noProof/>
          <w:szCs w:val="22"/>
          <w:lang w:val="en-US" w:eastAsia="en-US"/>
        </w:rPr>
        <w:t xml:space="preserve"> str</w:t>
      </w:r>
      <w:r w:rsidR="007556EC">
        <w:rPr>
          <w:rFonts w:eastAsia="Calibri" w:cstheme="minorBidi"/>
          <w:noProof/>
          <w:szCs w:val="22"/>
          <w:lang w:val="en-US" w:eastAsia="en-US"/>
        </w:rPr>
        <w:t>onger</w:t>
      </w:r>
      <w:r w:rsidRPr="00933ED2">
        <w:rPr>
          <w:rFonts w:eastAsia="Calibri" w:cstheme="minorBidi"/>
          <w:noProof/>
          <w:szCs w:val="22"/>
          <w:lang w:val="en-US" w:eastAsia="en-US"/>
        </w:rPr>
        <w:t xml:space="preserve"> professional standards, </w:t>
      </w:r>
      <w:r w:rsidR="00233B97">
        <w:rPr>
          <w:rFonts w:eastAsia="Calibri" w:cstheme="minorBidi"/>
          <w:noProof/>
          <w:szCs w:val="22"/>
          <w:lang w:val="en-US" w:eastAsia="en-US"/>
        </w:rPr>
        <w:t xml:space="preserve">an </w:t>
      </w:r>
      <w:r w:rsidRPr="00933ED2">
        <w:rPr>
          <w:rFonts w:eastAsia="Calibri" w:cstheme="minorBidi"/>
          <w:noProof/>
          <w:szCs w:val="22"/>
          <w:lang w:val="en-US" w:eastAsia="en-US"/>
        </w:rPr>
        <w:t>urgent adoption of the National Anti-Fraud Strategy</w:t>
      </w:r>
      <w:r w:rsidR="00CD3EF9">
        <w:rPr>
          <w:rFonts w:eastAsia="Calibri" w:cstheme="minorBidi"/>
          <w:noProof/>
          <w:szCs w:val="22"/>
          <w:lang w:val="en-US" w:eastAsia="en-US"/>
        </w:rPr>
        <w:t>, and</w:t>
      </w:r>
      <w:r w:rsidRPr="00933ED2">
        <w:rPr>
          <w:rFonts w:eastAsia="Calibri" w:cstheme="minorBidi"/>
          <w:noProof/>
          <w:szCs w:val="22"/>
          <w:lang w:val="en-US" w:eastAsia="en-US"/>
        </w:rPr>
        <w:t xml:space="preserve"> </w:t>
      </w:r>
      <w:r w:rsidR="007556EC">
        <w:rPr>
          <w:rFonts w:eastAsia="Calibri" w:cstheme="minorBidi"/>
          <w:noProof/>
          <w:szCs w:val="22"/>
          <w:lang w:val="en-US" w:eastAsia="en-US"/>
        </w:rPr>
        <w:t xml:space="preserve">a better </w:t>
      </w:r>
      <w:r w:rsidRPr="00933ED2">
        <w:rPr>
          <w:rFonts w:eastAsia="Calibri" w:cstheme="minorBidi"/>
          <w:noProof/>
          <w:szCs w:val="22"/>
          <w:lang w:val="en-US" w:eastAsia="en-US"/>
        </w:rPr>
        <w:t>control of subcontracting, a</w:t>
      </w:r>
      <w:r w:rsidR="007556EC">
        <w:rPr>
          <w:rFonts w:eastAsia="Calibri" w:cstheme="minorBidi"/>
          <w:noProof/>
          <w:szCs w:val="22"/>
          <w:lang w:val="en-US" w:eastAsia="en-US"/>
        </w:rPr>
        <w:t>s w</w:t>
      </w:r>
      <w:r w:rsidR="00E132E8">
        <w:rPr>
          <w:rFonts w:eastAsia="Calibri" w:cstheme="minorBidi"/>
          <w:noProof/>
          <w:szCs w:val="22"/>
          <w:lang w:val="en-US" w:eastAsia="en-US"/>
        </w:rPr>
        <w:t>ell as</w:t>
      </w:r>
      <w:r w:rsidRPr="00933ED2">
        <w:rPr>
          <w:rFonts w:eastAsia="Calibri" w:cstheme="minorBidi"/>
          <w:noProof/>
          <w:szCs w:val="22"/>
          <w:lang w:val="en-US" w:eastAsia="en-US"/>
        </w:rPr>
        <w:t xml:space="preserve"> </w:t>
      </w:r>
      <w:r w:rsidR="00E132E8">
        <w:rPr>
          <w:rFonts w:eastAsia="Calibri" w:cstheme="minorBidi"/>
          <w:noProof/>
          <w:szCs w:val="22"/>
          <w:lang w:val="en-US" w:eastAsia="en-US"/>
        </w:rPr>
        <w:t>shorter</w:t>
      </w:r>
      <w:r w:rsidRPr="00933ED2">
        <w:rPr>
          <w:rFonts w:eastAsia="Calibri" w:cstheme="minorBidi"/>
          <w:noProof/>
          <w:szCs w:val="22"/>
          <w:lang w:val="en-US" w:eastAsia="en-US"/>
        </w:rPr>
        <w:t xml:space="preserve"> procedural delays</w:t>
      </w:r>
      <w:r w:rsidRPr="00933ED2">
        <w:rPr>
          <w:rFonts w:eastAsia="Calibri" w:cstheme="minorBidi"/>
          <w:noProof/>
          <w:szCs w:val="22"/>
          <w:vertAlign w:val="superscript"/>
          <w:lang w:val="en-US" w:eastAsia="en-US"/>
        </w:rPr>
        <w:footnoteReference w:id="137"/>
      </w:r>
      <w:r w:rsidRPr="00933ED2">
        <w:rPr>
          <w:rFonts w:eastAsia="Calibri" w:cstheme="minorBidi"/>
          <w:noProof/>
          <w:szCs w:val="22"/>
          <w:lang w:val="en-US" w:eastAsia="en-US"/>
        </w:rPr>
        <w:t xml:space="preserve">. </w:t>
      </w:r>
      <w:bookmarkStart w:id="25" w:name="_Hlk223700999"/>
      <w:r w:rsidRPr="00933ED2">
        <w:rPr>
          <w:rFonts w:eastAsia="Calibri" w:cstheme="minorBidi"/>
          <w:noProof/>
          <w:szCs w:val="22"/>
          <w:lang w:val="en-US" w:eastAsia="en-US"/>
        </w:rPr>
        <w:t xml:space="preserve">In addition to public procurement, </w:t>
      </w:r>
      <w:r w:rsidR="00A54C8B">
        <w:rPr>
          <w:rFonts w:eastAsia="Calibri" w:cstheme="minorBidi"/>
          <w:noProof/>
          <w:szCs w:val="22"/>
          <w:lang w:val="en-US" w:eastAsia="en-US"/>
        </w:rPr>
        <w:t>stakeholders have identified</w:t>
      </w:r>
      <w:r w:rsidRPr="00933ED2">
        <w:rPr>
          <w:rFonts w:eastAsia="Calibri" w:cstheme="minorBidi"/>
          <w:noProof/>
          <w:szCs w:val="22"/>
          <w:lang w:val="en-US" w:eastAsia="en-US"/>
        </w:rPr>
        <w:t xml:space="preserve"> critical infrastructure and political party financing as sectors most vulnerable to corruption</w:t>
      </w:r>
      <w:r w:rsidRPr="00933ED2">
        <w:rPr>
          <w:rFonts w:eastAsia="Calibri" w:cstheme="minorBidi"/>
          <w:noProof/>
          <w:szCs w:val="22"/>
          <w:vertAlign w:val="superscript"/>
          <w:lang w:val="en-US" w:eastAsia="en-US"/>
        </w:rPr>
        <w:footnoteReference w:id="138"/>
      </w:r>
      <w:bookmarkEnd w:id="24"/>
      <w:bookmarkEnd w:id="25"/>
      <w:r w:rsidRPr="00933ED2">
        <w:rPr>
          <w:rFonts w:eastAsia="Calibri" w:cstheme="minorBidi"/>
          <w:noProof/>
          <w:szCs w:val="22"/>
          <w:lang w:val="en-US" w:eastAsia="en-US"/>
        </w:rPr>
        <w:t>.</w:t>
      </w:r>
    </w:p>
    <w:p w14:paraId="66D757AC" w14:textId="77777777" w:rsidR="00933ED2" w:rsidRPr="00933ED2" w:rsidRDefault="00933ED2" w:rsidP="001877F5">
      <w:pPr>
        <w:pStyle w:val="ListParagraph"/>
        <w:keepNext/>
        <w:numPr>
          <w:ilvl w:val="0"/>
          <w:numId w:val="39"/>
        </w:numPr>
        <w:outlineLvl w:val="0"/>
        <w:rPr>
          <w:b/>
          <w:smallCaps/>
          <w:noProof/>
          <w:szCs w:val="24"/>
          <w:u w:val="single"/>
          <w:lang w:eastAsia="fr-FR"/>
        </w:rPr>
      </w:pPr>
      <w:r w:rsidRPr="00933ED2">
        <w:rPr>
          <w:b/>
          <w:smallCaps/>
          <w:noProof/>
          <w:szCs w:val="24"/>
          <w:u w:val="single"/>
          <w:lang w:eastAsia="fr-FR"/>
        </w:rPr>
        <w:t xml:space="preserve">Media Pluralism and Media Freedom </w:t>
      </w:r>
    </w:p>
    <w:p w14:paraId="6E4B40B7" w14:textId="1837D0F1" w:rsidR="00933ED2" w:rsidRPr="00933ED2" w:rsidRDefault="00933ED2" w:rsidP="00933ED2">
      <w:pPr>
        <w:rPr>
          <w:rFonts w:eastAsia="Calibri" w:cstheme="minorBidi"/>
          <w:noProof/>
          <w:szCs w:val="22"/>
          <w:lang w:val="en-US" w:eastAsia="en-GB"/>
        </w:rPr>
      </w:pPr>
      <w:r w:rsidRPr="00933ED2">
        <w:rPr>
          <w:rFonts w:eastAsia="Calibri" w:cstheme="minorBidi"/>
          <w:b/>
          <w:bCs/>
          <w:noProof/>
          <w:szCs w:val="22"/>
          <w:lang w:val="en-US" w:eastAsia="en-GB"/>
        </w:rPr>
        <w:t>Reforms are ongoing,</w:t>
      </w:r>
      <w:r w:rsidRPr="00933ED2">
        <w:rPr>
          <w:rFonts w:eastAsiaTheme="minorHAnsi" w:cstheme="minorBidi"/>
          <w:b/>
          <w:bCs/>
          <w:noProof/>
          <w:szCs w:val="22"/>
          <w:lang w:val="en-US" w:eastAsia="en-US"/>
        </w:rPr>
        <w:t xml:space="preserve"> </w:t>
      </w:r>
      <w:r w:rsidRPr="00933ED2">
        <w:rPr>
          <w:rFonts w:eastAsia="Calibri" w:cstheme="minorBidi"/>
          <w:b/>
          <w:bCs/>
          <w:noProof/>
          <w:szCs w:val="22"/>
          <w:lang w:val="en-US" w:eastAsia="en-GB"/>
        </w:rPr>
        <w:t>including further resources for the national regulator to carry out its new supervisory functions.</w:t>
      </w:r>
      <w:r w:rsidRPr="00933ED2">
        <w:rPr>
          <w:rFonts w:eastAsia="Calibri" w:cstheme="minorBidi"/>
          <w:noProof/>
          <w:szCs w:val="22"/>
          <w:lang w:val="en-US" w:eastAsia="en-GB"/>
        </w:rPr>
        <w:t xml:space="preserve"> The new draft law on Digital Services and Media adopted by the Council of Ministers on 29 July 2025 with a view to aligning with the European Media Freedom Act (EMFA)</w:t>
      </w:r>
      <w:r w:rsidRPr="00933ED2">
        <w:rPr>
          <w:rFonts w:eastAsia="Calibri" w:cstheme="minorBidi"/>
          <w:noProof/>
          <w:szCs w:val="22"/>
          <w:vertAlign w:val="superscript"/>
          <w:lang w:val="en-US" w:eastAsia="en-GB"/>
        </w:rPr>
        <w:footnoteReference w:id="139"/>
      </w:r>
      <w:r w:rsidRPr="00933ED2">
        <w:rPr>
          <w:rFonts w:eastAsia="Calibri" w:cstheme="minorBidi"/>
          <w:noProof/>
          <w:szCs w:val="22"/>
          <w:lang w:val="en-US" w:eastAsia="en-GB"/>
        </w:rPr>
        <w:t xml:space="preserve"> is still in the amendment phase of the parliamentary process</w:t>
      </w:r>
      <w:r w:rsidRPr="00933ED2">
        <w:rPr>
          <w:rFonts w:eastAsia="Calibri" w:cs="Arial"/>
          <w:noProof/>
          <w:szCs w:val="22"/>
          <w:vertAlign w:val="superscript"/>
          <w:lang w:val="en-US" w:eastAsia="en-US"/>
        </w:rPr>
        <w:footnoteReference w:id="140"/>
      </w:r>
      <w:r w:rsidRPr="00933ED2">
        <w:rPr>
          <w:rFonts w:eastAsia="Calibri" w:cstheme="minorBidi"/>
          <w:noProof/>
          <w:szCs w:val="22"/>
          <w:lang w:val="en-US" w:eastAsia="en-GB"/>
        </w:rPr>
        <w:t>. In parallel, a Digital Transformation Committee is holding expert hearings on technical issues of the draft</w:t>
      </w:r>
      <w:r w:rsidRPr="00933ED2">
        <w:rPr>
          <w:rFonts w:eastAsia="Calibri" w:cs="Arial"/>
          <w:noProof/>
          <w:szCs w:val="22"/>
          <w:vertAlign w:val="superscript"/>
          <w:lang w:val="en-US" w:eastAsia="en-US"/>
        </w:rPr>
        <w:footnoteReference w:id="141"/>
      </w:r>
      <w:r w:rsidRPr="00933ED2">
        <w:rPr>
          <w:rFonts w:eastAsia="Calibri" w:cstheme="minorBidi"/>
          <w:noProof/>
          <w:szCs w:val="22"/>
          <w:lang w:val="en-US" w:eastAsia="en-GB"/>
        </w:rPr>
        <w:t>. In particular, the draft law proposes the creation of a new Media Directorate in the National Commission for Markets and Competition (CNMC)</w:t>
      </w:r>
      <w:r w:rsidRPr="00933ED2">
        <w:rPr>
          <w:rFonts w:eastAsia="Calibri" w:cstheme="minorBidi"/>
          <w:noProof/>
          <w:szCs w:val="22"/>
          <w:vertAlign w:val="superscript"/>
          <w:lang w:val="en-US" w:eastAsia="en-GB"/>
        </w:rPr>
        <w:footnoteReference w:id="142"/>
      </w:r>
      <w:r w:rsidRPr="00933ED2">
        <w:rPr>
          <w:rFonts w:eastAsia="Calibri" w:cstheme="minorBidi"/>
          <w:noProof/>
          <w:szCs w:val="22"/>
          <w:lang w:val="en-US" w:eastAsia="en-GB"/>
        </w:rPr>
        <w:t>, consisting of four new sub-directorates and 32 new posts. This follows the need for reinforced resources with the required expertise in order to carry out its present and future tasks effectively, as noted by the CNMC itself and other stakeholders</w:t>
      </w:r>
      <w:r w:rsidRPr="00933ED2">
        <w:rPr>
          <w:rFonts w:eastAsia="Calibri" w:cs="Arial"/>
          <w:noProof/>
          <w:szCs w:val="22"/>
          <w:vertAlign w:val="superscript"/>
          <w:lang w:val="en-US" w:eastAsia="en-US"/>
        </w:rPr>
        <w:footnoteReference w:id="143"/>
      </w:r>
      <w:r w:rsidRPr="00933ED2">
        <w:rPr>
          <w:rFonts w:eastAsia="Calibri" w:cstheme="minorBidi"/>
          <w:noProof/>
          <w:szCs w:val="22"/>
          <w:lang w:val="en-US" w:eastAsia="en-GB"/>
        </w:rPr>
        <w:t>. The 2026 Media Pluralism Monitor (MPM) for Spain maintains its previous score for plurality of media service providers as very-high risk</w:t>
      </w:r>
      <w:r w:rsidRPr="00933ED2">
        <w:rPr>
          <w:rFonts w:eastAsia="Calibri" w:cstheme="minorBidi"/>
          <w:noProof/>
          <w:szCs w:val="22"/>
          <w:vertAlign w:val="superscript"/>
          <w:lang w:val="en-US" w:eastAsia="en-GB"/>
        </w:rPr>
        <w:footnoteReference w:id="144"/>
      </w:r>
      <w:r w:rsidRPr="00933ED2">
        <w:rPr>
          <w:rFonts w:eastAsia="Calibri" w:cstheme="minorBidi"/>
          <w:noProof/>
          <w:szCs w:val="22"/>
          <w:lang w:val="en-US" w:eastAsia="en-GB"/>
        </w:rPr>
        <w:t>. As regards independence and effectiveness of the media authority, it maintains its previous assessment of low risk</w:t>
      </w:r>
      <w:r w:rsidRPr="00933ED2">
        <w:rPr>
          <w:rFonts w:eastAsia="Calibri" w:cstheme="minorBidi"/>
          <w:noProof/>
          <w:szCs w:val="22"/>
          <w:vertAlign w:val="superscript"/>
          <w:lang w:val="en-US" w:eastAsia="en-GB"/>
        </w:rPr>
        <w:footnoteReference w:id="145"/>
      </w:r>
      <w:r w:rsidRPr="00933ED2">
        <w:rPr>
          <w:rFonts w:eastAsia="Calibri" w:cstheme="minorBidi"/>
          <w:noProof/>
          <w:szCs w:val="22"/>
          <w:lang w:val="en-US" w:eastAsia="en-GB"/>
        </w:rPr>
        <w:t xml:space="preserve">. The CNMC continues to cooperate with regional entities and </w:t>
      </w:r>
      <w:r w:rsidR="00586C31">
        <w:rPr>
          <w:rFonts w:eastAsia="Calibri" w:cstheme="minorBidi"/>
          <w:noProof/>
          <w:szCs w:val="22"/>
          <w:lang w:val="en-US" w:eastAsia="en-GB"/>
        </w:rPr>
        <w:t>regions</w:t>
      </w:r>
      <w:r w:rsidRPr="00933ED2">
        <w:rPr>
          <w:rFonts w:eastAsia="Calibri" w:cstheme="minorBidi"/>
          <w:noProof/>
          <w:szCs w:val="22"/>
          <w:lang w:val="en-US" w:eastAsia="en-GB"/>
        </w:rPr>
        <w:t xml:space="preserve"> via a dedicated forum in view of their competence to supervise the </w:t>
      </w:r>
      <w:r w:rsidR="008E554E">
        <w:rPr>
          <w:rFonts w:eastAsia="Calibri" w:cstheme="minorBidi"/>
          <w:noProof/>
          <w:szCs w:val="22"/>
          <w:lang w:val="en-US" w:eastAsia="en-GB"/>
        </w:rPr>
        <w:t>functioning</w:t>
      </w:r>
      <w:r w:rsidR="00481E82">
        <w:rPr>
          <w:rFonts w:eastAsia="Calibri" w:cstheme="minorBidi"/>
          <w:noProof/>
          <w:szCs w:val="22"/>
          <w:lang w:val="en-US" w:eastAsia="en-GB"/>
        </w:rPr>
        <w:t xml:space="preserve"> of regional media</w:t>
      </w:r>
      <w:r w:rsidR="006F73DC">
        <w:rPr>
          <w:rFonts w:eastAsia="Calibri" w:cstheme="minorBidi"/>
          <w:noProof/>
          <w:szCs w:val="22"/>
          <w:lang w:val="en-US" w:eastAsia="en-GB"/>
        </w:rPr>
        <w:t>, including in relation to their independence</w:t>
      </w:r>
      <w:r w:rsidRPr="00933ED2">
        <w:rPr>
          <w:rFonts w:eastAsia="Calibri" w:cs="Arial"/>
          <w:noProof/>
          <w:szCs w:val="22"/>
          <w:vertAlign w:val="superscript"/>
          <w:lang w:val="en-US" w:eastAsia="en-US"/>
        </w:rPr>
        <w:footnoteReference w:id="146"/>
      </w:r>
      <w:r w:rsidRPr="00933ED2">
        <w:rPr>
          <w:rFonts w:eastAsia="Calibri" w:cstheme="minorBidi"/>
          <w:noProof/>
          <w:szCs w:val="22"/>
          <w:lang w:val="en-US" w:eastAsia="en-GB"/>
        </w:rPr>
        <w:t xml:space="preserve">. In addition, following </w:t>
      </w:r>
      <w:r w:rsidR="00960978">
        <w:rPr>
          <w:rFonts w:eastAsia="Calibri" w:cstheme="minorBidi"/>
          <w:noProof/>
          <w:szCs w:val="22"/>
          <w:lang w:val="en-US" w:eastAsia="en-GB"/>
        </w:rPr>
        <w:t>two</w:t>
      </w:r>
      <w:r w:rsidRPr="00933ED2">
        <w:rPr>
          <w:rFonts w:eastAsia="Calibri" w:cstheme="minorBidi"/>
          <w:noProof/>
          <w:szCs w:val="22"/>
          <w:lang w:val="en-US" w:eastAsia="en-GB"/>
        </w:rPr>
        <w:t xml:space="preserve"> public consultation</w:t>
      </w:r>
      <w:r w:rsidR="00960978">
        <w:rPr>
          <w:rFonts w:eastAsia="Calibri" w:cstheme="minorBidi"/>
          <w:noProof/>
          <w:szCs w:val="22"/>
          <w:lang w:val="en-US" w:eastAsia="en-GB"/>
        </w:rPr>
        <w:t>s</w:t>
      </w:r>
      <w:r w:rsidRPr="00933ED2">
        <w:rPr>
          <w:rFonts w:eastAsia="Calibri" w:cstheme="minorBidi"/>
          <w:noProof/>
          <w:szCs w:val="22"/>
          <w:lang w:val="en-US" w:eastAsia="en-GB"/>
        </w:rPr>
        <w:t xml:space="preserve">, a co-regulation agreement regarding the rating of audiovisual programmes </w:t>
      </w:r>
      <w:r w:rsidR="006650FB">
        <w:rPr>
          <w:rFonts w:eastAsia="Calibri" w:cstheme="minorBidi"/>
          <w:noProof/>
          <w:szCs w:val="22"/>
          <w:lang w:val="en-US" w:eastAsia="en-GB"/>
        </w:rPr>
        <w:t xml:space="preserve">and content was signed on 10 June 2026, with the </w:t>
      </w:r>
      <w:r w:rsidR="00774F73">
        <w:rPr>
          <w:rFonts w:eastAsia="Calibri" w:cstheme="minorBidi"/>
          <w:noProof/>
          <w:szCs w:val="22"/>
          <w:lang w:val="en-US" w:eastAsia="en-GB"/>
        </w:rPr>
        <w:t>regions</w:t>
      </w:r>
      <w:r w:rsidR="006650FB">
        <w:rPr>
          <w:rFonts w:eastAsia="Calibri" w:cstheme="minorBidi"/>
          <w:noProof/>
          <w:szCs w:val="22"/>
          <w:lang w:val="en-US" w:eastAsia="en-GB"/>
        </w:rPr>
        <w:t xml:space="preserve"> expected to join progressively</w:t>
      </w:r>
      <w:r w:rsidRPr="00933ED2">
        <w:rPr>
          <w:rFonts w:eastAsia="Calibri" w:cs="Arial"/>
          <w:noProof/>
          <w:szCs w:val="22"/>
          <w:vertAlign w:val="superscript"/>
          <w:lang w:val="en-US" w:eastAsia="en-US"/>
        </w:rPr>
        <w:footnoteReference w:id="147"/>
      </w:r>
      <w:r w:rsidRPr="00933ED2">
        <w:rPr>
          <w:rFonts w:eastAsia="Calibri" w:cstheme="minorBidi"/>
          <w:noProof/>
          <w:szCs w:val="22"/>
          <w:lang w:val="en-US" w:eastAsia="en-GB"/>
        </w:rPr>
        <w:t xml:space="preserve">. </w:t>
      </w:r>
    </w:p>
    <w:p w14:paraId="57FEA783" w14:textId="3E4A13A5" w:rsidR="00933ED2" w:rsidRPr="00933ED2" w:rsidRDefault="00933ED2" w:rsidP="00933ED2">
      <w:pPr>
        <w:ind w:right="-46"/>
        <w:rPr>
          <w:rFonts w:eastAsia="Calibri" w:cs="Arial"/>
          <w:noProof/>
          <w:szCs w:val="22"/>
          <w:lang w:val="en-US" w:eastAsia="en-US"/>
        </w:rPr>
      </w:pPr>
      <w:r w:rsidRPr="00933ED2">
        <w:rPr>
          <w:rFonts w:eastAsia="Calibri" w:cs="Arial"/>
          <w:b/>
          <w:bCs/>
          <w:noProof/>
          <w:szCs w:val="22"/>
          <w:lang w:val="en-US" w:eastAsia="en-US"/>
        </w:rPr>
        <w:t xml:space="preserve">Risks related to editorial independence and political interference in </w:t>
      </w:r>
      <w:r w:rsidR="00155A41">
        <w:rPr>
          <w:rFonts w:eastAsia="Calibri" w:cs="Arial"/>
          <w:b/>
          <w:bCs/>
          <w:noProof/>
          <w:szCs w:val="22"/>
          <w:lang w:val="en-US" w:eastAsia="en-US"/>
        </w:rPr>
        <w:t xml:space="preserve">publicly </w:t>
      </w:r>
      <w:r w:rsidRPr="00933ED2">
        <w:rPr>
          <w:rFonts w:eastAsia="Calibri" w:cs="Arial"/>
          <w:b/>
          <w:bCs/>
          <w:noProof/>
          <w:szCs w:val="22"/>
          <w:lang w:val="en-US" w:eastAsia="en-US"/>
        </w:rPr>
        <w:t xml:space="preserve">owned radio and television </w:t>
      </w:r>
      <w:r w:rsidR="00155A41">
        <w:rPr>
          <w:rFonts w:eastAsia="Calibri" w:cs="Arial"/>
          <w:b/>
          <w:bCs/>
          <w:noProof/>
          <w:szCs w:val="22"/>
          <w:lang w:val="en-US" w:eastAsia="en-US"/>
        </w:rPr>
        <w:t xml:space="preserve">broadcasters </w:t>
      </w:r>
      <w:r w:rsidR="00EC4D68">
        <w:rPr>
          <w:rFonts w:eastAsia="Calibri" w:cs="Arial"/>
          <w:b/>
          <w:bCs/>
          <w:noProof/>
          <w:szCs w:val="22"/>
          <w:lang w:val="en-US" w:eastAsia="en-US"/>
        </w:rPr>
        <w:t>are</w:t>
      </w:r>
      <w:r w:rsidRPr="00933ED2">
        <w:rPr>
          <w:rFonts w:eastAsia="Calibri" w:cs="Arial"/>
          <w:b/>
          <w:bCs/>
          <w:noProof/>
          <w:szCs w:val="22"/>
          <w:lang w:val="en-US" w:eastAsia="en-US"/>
        </w:rPr>
        <w:t xml:space="preserve"> flagged by stakeholders.</w:t>
      </w:r>
      <w:r w:rsidRPr="00933ED2">
        <w:rPr>
          <w:rFonts w:eastAsia="Calibri" w:cs="Arial"/>
          <w:noProof/>
          <w:szCs w:val="22"/>
          <w:lang w:val="en-US" w:eastAsia="en-US"/>
        </w:rPr>
        <w:t xml:space="preserve"> The 2024 amendment to the Law on state-owned radio and television</w:t>
      </w:r>
      <w:r w:rsidRPr="00933ED2">
        <w:rPr>
          <w:rFonts w:eastAsia="Calibri" w:cs="Arial"/>
          <w:b/>
          <w:bCs/>
          <w:noProof/>
          <w:szCs w:val="22"/>
          <w:lang w:val="en-US" w:eastAsia="en-US"/>
        </w:rPr>
        <w:t xml:space="preserve"> </w:t>
      </w:r>
      <w:r w:rsidRPr="00933ED2">
        <w:rPr>
          <w:rFonts w:eastAsia="Calibri" w:cs="Arial"/>
          <w:noProof/>
          <w:szCs w:val="22"/>
          <w:lang w:val="en-US" w:eastAsia="en-US"/>
        </w:rPr>
        <w:t>changed the composition of the management board and its election system and gave more powers to its chairperson</w:t>
      </w:r>
      <w:r w:rsidRPr="00933ED2">
        <w:rPr>
          <w:rFonts w:eastAsia="Calibri" w:cs="Arial"/>
          <w:noProof/>
          <w:szCs w:val="22"/>
          <w:vertAlign w:val="superscript"/>
          <w:lang w:val="en-US" w:eastAsia="en-US"/>
        </w:rPr>
        <w:footnoteReference w:id="148"/>
      </w:r>
      <w:r w:rsidRPr="00933ED2">
        <w:rPr>
          <w:rFonts w:eastAsia="Calibri" w:cs="Arial"/>
          <w:noProof/>
          <w:szCs w:val="22"/>
          <w:lang w:val="en-US" w:eastAsia="en-US"/>
        </w:rPr>
        <w:t xml:space="preserve">. Similar </w:t>
      </w:r>
      <w:r w:rsidRPr="00933ED2" w:rsidDel="002B1688">
        <w:rPr>
          <w:rFonts w:eastAsia="Calibri" w:cs="Arial"/>
          <w:noProof/>
          <w:szCs w:val="22"/>
          <w:lang w:val="en-US" w:eastAsia="en-US"/>
        </w:rPr>
        <w:t>c</w:t>
      </w:r>
      <w:r w:rsidRPr="00933ED2" w:rsidDel="00377FF1">
        <w:rPr>
          <w:rFonts w:eastAsia="Calibri" w:cs="Arial"/>
          <w:noProof/>
          <w:szCs w:val="22"/>
          <w:lang w:val="en-US" w:eastAsia="en-US"/>
        </w:rPr>
        <w:t>oncerns</w:t>
      </w:r>
      <w:r w:rsidRPr="00933ED2">
        <w:rPr>
          <w:rFonts w:eastAsia="Calibri" w:cs="Arial"/>
          <w:noProof/>
          <w:szCs w:val="22"/>
          <w:lang w:val="en-US" w:eastAsia="en-US"/>
        </w:rPr>
        <w:t xml:space="preserve"> have been raised by stakeholders with regard to regional public service media following similar legislative reforms</w:t>
      </w:r>
      <w:r w:rsidRPr="00933ED2">
        <w:rPr>
          <w:rFonts w:eastAsia="Calibri" w:cs="Arial"/>
          <w:noProof/>
          <w:szCs w:val="22"/>
          <w:vertAlign w:val="superscript"/>
          <w:lang w:val="en-US" w:eastAsia="en-US"/>
        </w:rPr>
        <w:footnoteReference w:id="149"/>
      </w:r>
      <w:r w:rsidRPr="00933ED2">
        <w:rPr>
          <w:rFonts w:eastAsia="Calibri" w:cs="Arial"/>
          <w:noProof/>
          <w:szCs w:val="22"/>
          <w:lang w:val="en-US" w:eastAsia="en-US"/>
        </w:rPr>
        <w:t>. Although the Government points to the normal functioning of RTVE since the reforms were introduced</w:t>
      </w:r>
      <w:r w:rsidRPr="00933ED2">
        <w:rPr>
          <w:rFonts w:eastAsia="Calibri" w:cs="Arial"/>
          <w:noProof/>
          <w:szCs w:val="22"/>
          <w:vertAlign w:val="superscript"/>
          <w:lang w:val="en-US" w:eastAsia="en-US"/>
        </w:rPr>
        <w:footnoteReference w:id="150"/>
      </w:r>
      <w:r w:rsidRPr="00933ED2">
        <w:rPr>
          <w:rFonts w:eastAsia="Calibri" w:cs="Arial"/>
          <w:noProof/>
          <w:szCs w:val="22"/>
          <w:lang w:val="en-US" w:eastAsia="en-US"/>
        </w:rPr>
        <w:t>, stakeholders flag risks to editorial independence and political interference</w:t>
      </w:r>
      <w:r w:rsidRPr="00933ED2">
        <w:rPr>
          <w:rFonts w:eastAsia="Calibri" w:cs="Arial"/>
          <w:noProof/>
          <w:szCs w:val="22"/>
          <w:vertAlign w:val="superscript"/>
          <w:lang w:val="en-US" w:eastAsia="en-US"/>
        </w:rPr>
        <w:footnoteReference w:id="151"/>
      </w:r>
      <w:r w:rsidRPr="00933ED2">
        <w:rPr>
          <w:rFonts w:eastAsia="Calibri" w:cs="Arial"/>
          <w:noProof/>
          <w:szCs w:val="22"/>
          <w:lang w:val="en-US" w:eastAsia="en-US"/>
        </w:rPr>
        <w:t>. In January 2026, the News Councils of TVE and RNE</w:t>
      </w:r>
      <w:r w:rsidRPr="00933ED2">
        <w:rPr>
          <w:rFonts w:eastAsia="Calibri" w:cs="Arial"/>
          <w:noProof/>
          <w:szCs w:val="22"/>
          <w:vertAlign w:val="superscript"/>
          <w:lang w:val="en-US" w:eastAsia="en-US"/>
        </w:rPr>
        <w:footnoteReference w:id="152"/>
      </w:r>
      <w:r w:rsidRPr="00933ED2">
        <w:rPr>
          <w:rFonts w:eastAsia="Calibri" w:cs="Arial"/>
          <w:noProof/>
          <w:szCs w:val="22"/>
          <w:lang w:val="en-US" w:eastAsia="en-US"/>
        </w:rPr>
        <w:t xml:space="preserve"> issued a report pointing to the deterioration of professional standards and criticising what they report as perceived political bias in news programmes of the public service media</w:t>
      </w:r>
      <w:r w:rsidRPr="00933ED2">
        <w:rPr>
          <w:rFonts w:eastAsia="Calibri" w:cs="Arial"/>
          <w:noProof/>
          <w:szCs w:val="22"/>
          <w:vertAlign w:val="superscript"/>
          <w:lang w:val="en-US" w:eastAsia="en-US"/>
        </w:rPr>
        <w:footnoteReference w:id="153"/>
      </w:r>
      <w:r w:rsidRPr="00933ED2">
        <w:rPr>
          <w:rFonts w:eastAsia="Calibri" w:cs="Arial"/>
          <w:noProof/>
          <w:szCs w:val="22"/>
          <w:lang w:val="en-US" w:eastAsia="en-US"/>
        </w:rPr>
        <w:t>. Stakeholder reports suggest that the abovementioned legislative reform has led to a decrease in public trust towards public service media</w:t>
      </w:r>
      <w:r w:rsidRPr="00933ED2">
        <w:rPr>
          <w:rFonts w:eastAsia="Calibri" w:cs="Arial"/>
          <w:noProof/>
          <w:szCs w:val="22"/>
          <w:vertAlign w:val="superscript"/>
          <w:lang w:val="en-US" w:eastAsia="en-US"/>
        </w:rPr>
        <w:footnoteReference w:id="154"/>
      </w:r>
      <w:r w:rsidRPr="00933ED2">
        <w:rPr>
          <w:rFonts w:eastAsia="Calibri" w:cs="Arial"/>
          <w:noProof/>
          <w:szCs w:val="22"/>
          <w:lang w:val="en-US" w:eastAsia="en-US"/>
        </w:rPr>
        <w:t xml:space="preserve">. The </w:t>
      </w:r>
      <w:r w:rsidRPr="00933ED2">
        <w:rPr>
          <w:rFonts w:eastAsia="Calibri" w:cstheme="minorBidi"/>
          <w:noProof/>
          <w:szCs w:val="22"/>
          <w:lang w:val="en-US" w:eastAsia="en-GB"/>
        </w:rPr>
        <w:t>2026 MPM</w:t>
      </w:r>
      <w:r w:rsidRPr="00933ED2">
        <w:rPr>
          <w:rFonts w:eastAsia="Calibri" w:cs="Arial"/>
          <w:noProof/>
          <w:szCs w:val="22"/>
          <w:lang w:val="en-US" w:eastAsia="en-US"/>
        </w:rPr>
        <w:t xml:space="preserve"> indicator on independence of public service media remains at medium-high risk</w:t>
      </w:r>
      <w:r w:rsidRPr="00933ED2">
        <w:rPr>
          <w:rFonts w:eastAsia="Calibri" w:cs="Arial"/>
          <w:noProof/>
          <w:szCs w:val="22"/>
          <w:vertAlign w:val="superscript"/>
          <w:lang w:val="en-US" w:eastAsia="en-US"/>
        </w:rPr>
        <w:footnoteReference w:id="155"/>
      </w:r>
      <w:r w:rsidRPr="00933ED2">
        <w:rPr>
          <w:rFonts w:eastAsia="Calibri" w:cs="Arial"/>
          <w:noProof/>
          <w:szCs w:val="22"/>
          <w:lang w:val="en-US" w:eastAsia="en-US"/>
        </w:rPr>
        <w:t xml:space="preserve">. </w:t>
      </w:r>
    </w:p>
    <w:p w14:paraId="5F6D3051" w14:textId="77777777" w:rsidR="00933ED2" w:rsidRPr="00933ED2" w:rsidRDefault="00933ED2" w:rsidP="00933ED2">
      <w:pPr>
        <w:ind w:right="-46"/>
        <w:rPr>
          <w:rFonts w:eastAsiaTheme="minorHAnsi" w:cstheme="minorBidi"/>
          <w:noProof/>
          <w:szCs w:val="22"/>
          <w:lang w:val="en-US" w:eastAsia="en-US"/>
        </w:rPr>
      </w:pPr>
      <w:bookmarkStart w:id="26" w:name="_Hlk223688793"/>
      <w:r w:rsidRPr="00933ED2">
        <w:rPr>
          <w:rFonts w:eastAsiaTheme="minorHAnsi" w:cstheme="minorBidi"/>
          <w:b/>
          <w:bCs/>
          <w:noProof/>
          <w:szCs w:val="22"/>
          <w:lang w:val="en-US" w:eastAsia="en-US"/>
        </w:rPr>
        <w:t>As the adoption of new legislation is still pending, concerns remain as regards the ownership transparency of media other than audiovisual media services, video sharing platforms and influencers.</w:t>
      </w:r>
      <w:r w:rsidRPr="00933ED2">
        <w:rPr>
          <w:rFonts w:eastAsiaTheme="minorHAnsi" w:cstheme="minorBidi"/>
          <w:noProof/>
          <w:szCs w:val="22"/>
          <w:lang w:val="en-US" w:eastAsia="en-US"/>
        </w:rPr>
        <w:t xml:space="preserve"> </w:t>
      </w:r>
      <w:bookmarkEnd w:id="26"/>
      <w:r w:rsidRPr="00933ED2">
        <w:rPr>
          <w:rFonts w:eastAsiaTheme="minorHAnsi" w:cstheme="minorBidi"/>
          <w:noProof/>
          <w:szCs w:val="22"/>
          <w:lang w:val="en-US" w:eastAsia="en-US"/>
        </w:rPr>
        <w:t xml:space="preserve">The new draft law on Digital Services and Media adopted on 29 July 2025 </w:t>
      </w:r>
      <w:r w:rsidRPr="00933ED2">
        <w:rPr>
          <w:rFonts w:eastAsia="Calibri" w:cstheme="minorBidi"/>
          <w:noProof/>
          <w:szCs w:val="22"/>
          <w:lang w:eastAsia="en-GB"/>
        </w:rPr>
        <w:t xml:space="preserve">with a view to aligning with the </w:t>
      </w:r>
      <w:r w:rsidRPr="00933ED2">
        <w:rPr>
          <w:rFonts w:eastAsia="Calibri" w:cstheme="minorBidi"/>
          <w:noProof/>
          <w:szCs w:val="22"/>
          <w:lang w:val="en-US" w:eastAsia="en-GB"/>
        </w:rPr>
        <w:t>EMFA</w:t>
      </w:r>
      <w:r w:rsidRPr="00933ED2">
        <w:rPr>
          <w:rFonts w:eastAsia="Calibri" w:cstheme="minorBidi"/>
          <w:noProof/>
          <w:szCs w:val="22"/>
          <w:vertAlign w:val="superscript"/>
          <w:lang w:val="en-US" w:eastAsia="en-GB"/>
        </w:rPr>
        <w:footnoteReference w:id="156"/>
      </w:r>
      <w:r w:rsidRPr="00933ED2">
        <w:rPr>
          <w:rFonts w:eastAsia="Calibri" w:cstheme="minorBidi"/>
          <w:noProof/>
          <w:szCs w:val="22"/>
          <w:lang w:val="en-US" w:eastAsia="en-GB"/>
        </w:rPr>
        <w:t xml:space="preserve"> and</w:t>
      </w:r>
      <w:r w:rsidRPr="00933ED2">
        <w:rPr>
          <w:rFonts w:eastAsiaTheme="minorHAnsi" w:cstheme="minorBidi"/>
          <w:noProof/>
          <w:szCs w:val="22"/>
          <w:lang w:val="en-US" w:eastAsia="en-US"/>
        </w:rPr>
        <w:t xml:space="preserve"> envisaging the creation of a public registry of media supervised by the CNMC</w:t>
      </w:r>
      <w:r w:rsidRPr="00933ED2">
        <w:rPr>
          <w:rFonts w:eastAsiaTheme="minorHAnsi" w:cstheme="minorBidi"/>
          <w:noProof/>
          <w:szCs w:val="22"/>
          <w:vertAlign w:val="superscript"/>
          <w:lang w:val="en-US" w:eastAsia="en-US"/>
        </w:rPr>
        <w:footnoteReference w:id="157"/>
      </w:r>
      <w:r w:rsidRPr="00933ED2">
        <w:rPr>
          <w:rFonts w:eastAsiaTheme="minorHAnsi" w:cstheme="minorBidi"/>
          <w:noProof/>
          <w:szCs w:val="22"/>
          <w:lang w:val="en-US" w:eastAsia="en-US"/>
        </w:rPr>
        <w:t xml:space="preserve"> is still in the amendment phase of the parliamentary process</w:t>
      </w:r>
      <w:r w:rsidRPr="00933ED2">
        <w:rPr>
          <w:rFonts w:eastAsia="Calibri" w:cs="Arial"/>
          <w:noProof/>
          <w:szCs w:val="22"/>
          <w:vertAlign w:val="superscript"/>
          <w:lang w:val="en-US" w:eastAsia="en-US"/>
        </w:rPr>
        <w:footnoteReference w:id="158"/>
      </w:r>
      <w:r w:rsidRPr="00933ED2">
        <w:rPr>
          <w:rFonts w:eastAsia="Calibri" w:cstheme="minorBidi"/>
          <w:noProof/>
          <w:szCs w:val="22"/>
          <w:lang w:val="en-US" w:eastAsia="en-US"/>
        </w:rPr>
        <w:t>. The 2026 MPM indicator for transparency of media ownership has changed from very high-risk in 2025 to medium-low risk due to the awaited legal reforms, namely the creation of a public registry and the establishment of ownership transparency requirements</w:t>
      </w:r>
      <w:r w:rsidRPr="00933ED2">
        <w:rPr>
          <w:rFonts w:eastAsiaTheme="minorHAnsi" w:cstheme="minorBidi"/>
          <w:noProof/>
          <w:szCs w:val="22"/>
          <w:vertAlign w:val="superscript"/>
          <w:lang w:val="en-US" w:eastAsia="en-US"/>
        </w:rPr>
        <w:footnoteReference w:id="159"/>
      </w:r>
      <w:r w:rsidRPr="00933ED2">
        <w:rPr>
          <w:rFonts w:eastAsiaTheme="minorHAnsi" w:cstheme="minorBidi"/>
          <w:i/>
          <w:iCs/>
          <w:noProof/>
          <w:szCs w:val="22"/>
          <w:lang w:val="en-US" w:eastAsia="en-US"/>
        </w:rPr>
        <w:t>.</w:t>
      </w:r>
      <w:r w:rsidRPr="00933ED2">
        <w:rPr>
          <w:rFonts w:eastAsia="Calibri" w:cstheme="minorBidi"/>
          <w:noProof/>
          <w:szCs w:val="22"/>
          <w:lang w:val="en-US" w:eastAsia="en-GB"/>
        </w:rPr>
        <w:t xml:space="preserve"> </w:t>
      </w:r>
      <w:r w:rsidRPr="00933ED2">
        <w:rPr>
          <w:rFonts w:eastAsia="Calibri" w:cstheme="minorBidi"/>
          <w:noProof/>
          <w:szCs w:val="22"/>
          <w:lang w:val="en-US" w:eastAsia="en-US"/>
        </w:rPr>
        <w:t xml:space="preserve">Stakeholders continue to </w:t>
      </w:r>
      <w:r w:rsidRPr="00933ED2">
        <w:rPr>
          <w:rFonts w:eastAsia="Calibri" w:cstheme="minorBidi"/>
          <w:noProof/>
          <w:szCs w:val="22"/>
          <w:lang w:val="en-US" w:eastAsia="en-GB"/>
        </w:rPr>
        <w:t>underline the inadequacy of the existing legal framework to ensure transparency of media ownership until the ongoing legal reforms are completed</w:t>
      </w:r>
      <w:r w:rsidRPr="00933ED2">
        <w:rPr>
          <w:rFonts w:eastAsia="Calibri" w:cs="Arial"/>
          <w:noProof/>
          <w:szCs w:val="22"/>
          <w:vertAlign w:val="superscript"/>
          <w:lang w:val="en-US" w:eastAsia="en-US"/>
        </w:rPr>
        <w:footnoteReference w:id="160"/>
      </w:r>
      <w:r w:rsidRPr="00933ED2">
        <w:rPr>
          <w:rFonts w:eastAsia="Calibri" w:cstheme="minorBidi"/>
          <w:noProof/>
          <w:szCs w:val="22"/>
          <w:lang w:val="en-US" w:eastAsia="en-GB"/>
        </w:rPr>
        <w:t>.</w:t>
      </w:r>
      <w:r w:rsidRPr="00933ED2">
        <w:rPr>
          <w:rFonts w:eastAsia="Calibri" w:cs="Arial"/>
          <w:noProof/>
          <w:szCs w:val="22"/>
          <w:lang w:val="en-US" w:eastAsia="en-US"/>
        </w:rPr>
        <w:t xml:space="preserve"> </w:t>
      </w:r>
    </w:p>
    <w:p w14:paraId="7AE38A8F" w14:textId="49E69990" w:rsidR="00933ED2" w:rsidRPr="00933ED2" w:rsidRDefault="00933ED2" w:rsidP="00933ED2">
      <w:pPr>
        <w:ind w:right="-46"/>
        <w:rPr>
          <w:rFonts w:eastAsia="Calibri" w:cs="Arial"/>
          <w:noProof/>
          <w:szCs w:val="22"/>
          <w:lang w:val="en-US" w:eastAsia="en-US"/>
        </w:rPr>
      </w:pPr>
      <w:r w:rsidRPr="00933ED2">
        <w:rPr>
          <w:rFonts w:eastAsiaTheme="minorHAnsi" w:cstheme="minorBidi"/>
          <w:b/>
          <w:bCs/>
          <w:noProof/>
          <w:szCs w:val="22"/>
          <w:lang w:val="en-US" w:eastAsia="en-US"/>
        </w:rPr>
        <w:t>The reform of the legal framework for state advertising is advancing, although challenges remain.</w:t>
      </w:r>
      <w:r w:rsidRPr="00933ED2">
        <w:rPr>
          <w:rFonts w:eastAsiaTheme="minorHAnsi" w:cstheme="minorBidi"/>
          <w:noProof/>
          <w:szCs w:val="22"/>
          <w:lang w:val="en-US" w:eastAsia="en-US"/>
        </w:rPr>
        <w:t xml:space="preserve"> The technical work on the reform of the Institutional Advertising Law </w:t>
      </w:r>
      <w:r w:rsidRPr="00933ED2">
        <w:rPr>
          <w:rFonts w:eastAsia="Calibri" w:cstheme="minorBidi"/>
          <w:noProof/>
          <w:szCs w:val="22"/>
          <w:lang w:eastAsia="en-GB"/>
        </w:rPr>
        <w:t xml:space="preserve">with a view to aligning with the </w:t>
      </w:r>
      <w:r w:rsidRPr="00933ED2">
        <w:rPr>
          <w:rFonts w:eastAsia="Calibri" w:cstheme="minorBidi"/>
          <w:noProof/>
          <w:szCs w:val="22"/>
          <w:lang w:val="en-US" w:eastAsia="en-GB"/>
        </w:rPr>
        <w:t>EMFA</w:t>
      </w:r>
      <w:r w:rsidRPr="00933ED2">
        <w:rPr>
          <w:rFonts w:eastAsiaTheme="minorHAnsi" w:cstheme="minorBidi"/>
          <w:noProof/>
          <w:szCs w:val="22"/>
          <w:lang w:val="en-US" w:eastAsia="en-US"/>
        </w:rPr>
        <w:t xml:space="preserve"> was completed and the draft was adopted by the Council of Ministers on 24 February 2026</w:t>
      </w:r>
      <w:r w:rsidRPr="00933ED2">
        <w:rPr>
          <w:rFonts w:eastAsia="Calibri" w:cs="Arial"/>
          <w:noProof/>
          <w:szCs w:val="22"/>
          <w:vertAlign w:val="superscript"/>
          <w:lang w:val="en-US" w:eastAsia="en-US"/>
        </w:rPr>
        <w:footnoteReference w:id="161"/>
      </w:r>
      <w:r w:rsidRPr="00933ED2">
        <w:rPr>
          <w:rFonts w:eastAsiaTheme="minorHAnsi" w:cstheme="minorBidi"/>
          <w:noProof/>
          <w:szCs w:val="22"/>
          <w:lang w:val="en-US" w:eastAsia="en-US"/>
        </w:rPr>
        <w:t xml:space="preserve">. The draft law includes measures such as establishing concrete criteria in the allocation of public funds and a state advertising ceiling of maximum 35% of turnover of a media service provider. In the meantime, state advertising continues to be regulated by the 2005 law and </w:t>
      </w:r>
      <w:r w:rsidRPr="00933ED2">
        <w:rPr>
          <w:rFonts w:eastAsia="Calibri" w:cs="Arial"/>
          <w:noProof/>
          <w:szCs w:val="22"/>
          <w:lang w:val="en-US" w:eastAsia="en-US"/>
        </w:rPr>
        <w:t>stakeholders continue to criticise the use of institutional advertising for political influence of media, notably during electoral periods. In their view, this continues to result in discriminatory treatment of some media service providers; a lack of relevant information about recipients and amounts of such funding; as well as the absence of fair criteria in the allocation of public funds</w:t>
      </w:r>
      <w:r w:rsidRPr="00933ED2">
        <w:rPr>
          <w:rFonts w:eastAsia="Calibri" w:cs="Arial"/>
          <w:noProof/>
          <w:szCs w:val="22"/>
          <w:vertAlign w:val="superscript"/>
          <w:lang w:val="en-US" w:eastAsia="en-US"/>
        </w:rPr>
        <w:footnoteReference w:id="162"/>
      </w:r>
      <w:r w:rsidRPr="00933ED2">
        <w:rPr>
          <w:rFonts w:eastAsia="Calibri" w:cs="Arial"/>
          <w:noProof/>
          <w:szCs w:val="22"/>
          <w:lang w:val="en-US" w:eastAsia="en-US"/>
        </w:rPr>
        <w:t xml:space="preserve">. New legislation on state advertising has been adopted at regional level. </w:t>
      </w:r>
    </w:p>
    <w:p w14:paraId="064788D0" w14:textId="2D470568" w:rsidR="00933ED2" w:rsidRPr="00933ED2" w:rsidRDefault="00933ED2" w:rsidP="00933ED2">
      <w:pPr>
        <w:ind w:right="-46"/>
        <w:rPr>
          <w:rFonts w:eastAsia="Calibri" w:cstheme="minorBidi"/>
          <w:noProof/>
          <w:szCs w:val="22"/>
          <w:lang w:val="en-US" w:eastAsia="en-US"/>
        </w:rPr>
      </w:pPr>
      <w:bookmarkStart w:id="27" w:name="_Hlk223697818"/>
      <w:r w:rsidRPr="00933ED2">
        <w:rPr>
          <w:rFonts w:eastAsiaTheme="minorHAnsi" w:cstheme="minorBidi"/>
          <w:b/>
          <w:bCs/>
          <w:noProof/>
          <w:szCs w:val="22"/>
          <w:lang w:val="en-US" w:eastAsia="en-US"/>
        </w:rPr>
        <w:t>There has been significant progress on the recommendation to strengthen access to information</w:t>
      </w:r>
      <w:bookmarkEnd w:id="27"/>
      <w:r w:rsidRPr="00933ED2">
        <w:rPr>
          <w:rFonts w:eastAsiaTheme="minorHAnsi" w:cstheme="minorBidi"/>
          <w:b/>
          <w:bCs/>
          <w:noProof/>
          <w:szCs w:val="22"/>
          <w:lang w:val="en-US" w:eastAsia="en-US"/>
        </w:rPr>
        <w:t xml:space="preserve"> following</w:t>
      </w:r>
      <w:r w:rsidRPr="00933ED2">
        <w:rPr>
          <w:rFonts w:eastAsiaTheme="minorHAnsi" w:cstheme="minorBidi"/>
          <w:noProof/>
          <w:szCs w:val="22"/>
          <w:lang w:val="en-US" w:eastAsia="en-US"/>
        </w:rPr>
        <w:t xml:space="preserve"> </w:t>
      </w:r>
      <w:r w:rsidRPr="00933ED2">
        <w:rPr>
          <w:rFonts w:eastAsiaTheme="minorHAnsi" w:cstheme="minorBidi"/>
          <w:b/>
          <w:bCs/>
          <w:noProof/>
          <w:szCs w:val="22"/>
          <w:lang w:val="en-US" w:eastAsia="en-US"/>
        </w:rPr>
        <w:t>the approval by the Government of the draft Laws on Classified Information and Open Administration</w:t>
      </w:r>
      <w:r w:rsidRPr="00933ED2">
        <w:rPr>
          <w:rFonts w:eastAsiaTheme="minorHAnsi" w:cstheme="minorBidi"/>
          <w:b/>
          <w:bCs/>
          <w:noProof/>
          <w:szCs w:val="22"/>
          <w:vertAlign w:val="superscript"/>
          <w:lang w:val="en-US" w:eastAsia="en-US"/>
        </w:rPr>
        <w:footnoteReference w:id="163"/>
      </w:r>
      <w:r w:rsidRPr="00933ED2">
        <w:rPr>
          <w:rFonts w:eastAsiaTheme="minorHAnsi" w:cstheme="minorBidi"/>
          <w:b/>
          <w:bCs/>
          <w:noProof/>
          <w:szCs w:val="22"/>
          <w:lang w:val="en-US" w:eastAsia="en-US"/>
        </w:rPr>
        <w:t>.</w:t>
      </w:r>
      <w:r w:rsidRPr="00933ED2">
        <w:rPr>
          <w:rFonts w:eastAsiaTheme="minorHAnsi" w:cstheme="minorBidi"/>
          <w:noProof/>
          <w:szCs w:val="22"/>
          <w:lang w:val="en-US" w:eastAsia="en-US"/>
        </w:rPr>
        <w:t xml:space="preserve"> </w:t>
      </w:r>
      <w:r w:rsidRPr="00933ED2">
        <w:rPr>
          <w:rFonts w:eastAsia="Calibri" w:cstheme="minorBidi"/>
          <w:noProof/>
          <w:szCs w:val="22"/>
          <w:lang w:eastAsia="en-GB"/>
        </w:rPr>
        <w:t xml:space="preserve">With a view to aligning with the </w:t>
      </w:r>
      <w:r w:rsidRPr="00933ED2">
        <w:rPr>
          <w:rFonts w:eastAsia="Calibri" w:cstheme="minorBidi"/>
          <w:noProof/>
          <w:szCs w:val="22"/>
          <w:lang w:val="en-US" w:eastAsia="en-GB"/>
        </w:rPr>
        <w:t>EMFA,</w:t>
      </w:r>
      <w:r w:rsidRPr="00933ED2">
        <w:rPr>
          <w:rFonts w:eastAsia="Calibri" w:cstheme="minorBidi"/>
          <w:noProof/>
          <w:szCs w:val="22"/>
          <w:lang w:val="en-US" w:eastAsia="en-US"/>
        </w:rPr>
        <w:t xml:space="preserve"> the Government adopted the draft Law on Classified Information</w:t>
      </w:r>
      <w:r w:rsidRPr="00933ED2">
        <w:rPr>
          <w:rFonts w:eastAsiaTheme="minorHAnsi" w:cstheme="minorBidi"/>
          <w:noProof/>
          <w:szCs w:val="22"/>
          <w:vertAlign w:val="superscript"/>
          <w:lang w:val="en-US" w:eastAsia="en-US"/>
        </w:rPr>
        <w:footnoteReference w:id="164"/>
      </w:r>
      <w:r w:rsidRPr="00933ED2">
        <w:rPr>
          <w:rFonts w:eastAsia="Calibri" w:cstheme="minorBidi"/>
          <w:noProof/>
          <w:szCs w:val="22"/>
          <w:lang w:val="en-US" w:eastAsia="en-US"/>
        </w:rPr>
        <w:t xml:space="preserve"> </w:t>
      </w:r>
      <w:r w:rsidRPr="00933ED2">
        <w:rPr>
          <w:rFonts w:eastAsiaTheme="minorHAnsi" w:cstheme="minorBidi"/>
          <w:noProof/>
          <w:szCs w:val="22"/>
          <w:lang w:val="en-US" w:eastAsia="en-US"/>
        </w:rPr>
        <w:t xml:space="preserve">on 22 July 2025 </w:t>
      </w:r>
      <w:r w:rsidRPr="00933ED2">
        <w:rPr>
          <w:rFonts w:eastAsia="Calibri" w:cstheme="minorBidi"/>
          <w:noProof/>
          <w:szCs w:val="22"/>
          <w:lang w:val="en-US" w:eastAsia="en-US"/>
        </w:rPr>
        <w:t>and subsequently submitted it to Parliament, although a number of its provisions have drawn criticism from some stakeholders</w:t>
      </w:r>
      <w:r w:rsidRPr="00933ED2">
        <w:rPr>
          <w:rFonts w:eastAsia="Calibri" w:cs="Arial"/>
          <w:noProof/>
          <w:szCs w:val="22"/>
          <w:vertAlign w:val="superscript"/>
          <w:lang w:val="en-US" w:eastAsia="en-US"/>
        </w:rPr>
        <w:footnoteReference w:id="165"/>
      </w:r>
      <w:r w:rsidRPr="00933ED2">
        <w:rPr>
          <w:rFonts w:eastAsia="Calibri" w:cstheme="minorBidi"/>
          <w:noProof/>
          <w:szCs w:val="22"/>
          <w:lang w:val="en-US" w:eastAsia="en-US"/>
        </w:rPr>
        <w:t>.</w:t>
      </w:r>
      <w:r w:rsidRPr="00933ED2">
        <w:rPr>
          <w:rFonts w:eastAsiaTheme="minorHAnsi" w:cstheme="minorBidi"/>
          <w:noProof/>
          <w:szCs w:val="22"/>
          <w:lang w:val="en-US" w:eastAsia="en-US"/>
        </w:rPr>
        <w:t xml:space="preserve"> Concretely, the draft requires the State to classify sensitive information that may affect its defence or national security, provides for the relevant procedures and time limits, establishes competent authorities and defines the right to information based on professional interest (e.g. research or journalistic purposes). </w:t>
      </w:r>
      <w:r w:rsidR="00F3486F">
        <w:rPr>
          <w:rFonts w:eastAsiaTheme="minorHAnsi" w:cstheme="minorBidi"/>
          <w:noProof/>
          <w:szCs w:val="22"/>
          <w:lang w:val="en-US" w:eastAsia="en-US"/>
        </w:rPr>
        <w:t>I</w:t>
      </w:r>
      <w:r w:rsidR="0045074B" w:rsidRPr="0045074B">
        <w:rPr>
          <w:rFonts w:eastAsiaTheme="minorHAnsi" w:cstheme="minorBidi"/>
          <w:noProof/>
          <w:szCs w:val="22"/>
          <w:lang w:val="en-US" w:eastAsia="en-US"/>
        </w:rPr>
        <w:t>nformation relating to serious human rights violations or crimes against humanity may not be classified. Furthermore, the draft provides for the automatic declassification of information once the time limit established for each of the four categories of classified information has elapsed</w:t>
      </w:r>
      <w:r w:rsidR="0045074B">
        <w:rPr>
          <w:rFonts w:eastAsiaTheme="minorHAnsi" w:cstheme="minorBidi"/>
          <w:noProof/>
          <w:szCs w:val="22"/>
          <w:lang w:val="en-US" w:eastAsia="en-US"/>
        </w:rPr>
        <w:t>.</w:t>
      </w:r>
      <w:r w:rsidRPr="00933ED2">
        <w:rPr>
          <w:rFonts w:eastAsiaTheme="minorHAnsi" w:cstheme="minorBidi"/>
          <w:noProof/>
          <w:szCs w:val="22"/>
          <w:lang w:val="en-US" w:eastAsia="en-US"/>
        </w:rPr>
        <w:t xml:space="preserve"> In addition, in October 2025, the Government approved the draft Open Administration Law, in particular expanding transparency obligations relating to the functioning and activity of public institutions</w:t>
      </w:r>
      <w:r w:rsidRPr="00933ED2">
        <w:rPr>
          <w:rFonts w:eastAsia="Calibri" w:cs="Arial"/>
          <w:noProof/>
          <w:szCs w:val="22"/>
          <w:vertAlign w:val="superscript"/>
          <w:lang w:val="en-US" w:eastAsia="en-US"/>
        </w:rPr>
        <w:footnoteReference w:id="166"/>
      </w:r>
      <w:r w:rsidRPr="00933ED2">
        <w:rPr>
          <w:rFonts w:eastAsiaTheme="minorHAnsi" w:cstheme="minorBidi"/>
          <w:noProof/>
          <w:szCs w:val="22"/>
          <w:lang w:val="en-US" w:eastAsia="en-US"/>
        </w:rPr>
        <w:t>. After the ratification by Spain of the Council of Europe Convention on Access to Official Documents</w:t>
      </w:r>
      <w:r w:rsidRPr="00933ED2">
        <w:rPr>
          <w:rFonts w:eastAsiaTheme="minorHAnsi" w:cstheme="minorBidi"/>
          <w:noProof/>
          <w:szCs w:val="22"/>
          <w:vertAlign w:val="superscript"/>
          <w:lang w:val="en-US" w:eastAsia="en-US"/>
        </w:rPr>
        <w:footnoteReference w:id="167"/>
      </w:r>
      <w:r w:rsidRPr="00933ED2">
        <w:rPr>
          <w:rFonts w:eastAsiaTheme="minorHAnsi" w:cstheme="minorBidi"/>
          <w:noProof/>
          <w:szCs w:val="22"/>
          <w:lang w:val="en-US" w:eastAsia="en-US"/>
        </w:rPr>
        <w:t>, the Committee of Experts of the Convention has positively evaluated the Spanish Transparency Act, which regulates access to information</w:t>
      </w:r>
      <w:r w:rsidRPr="00933ED2">
        <w:rPr>
          <w:rFonts w:eastAsia="Calibri" w:cs="Arial"/>
          <w:noProof/>
          <w:szCs w:val="22"/>
          <w:vertAlign w:val="superscript"/>
          <w:lang w:val="en-US" w:eastAsia="en-US"/>
        </w:rPr>
        <w:footnoteReference w:id="168"/>
      </w:r>
      <w:r w:rsidRPr="00933ED2">
        <w:rPr>
          <w:rFonts w:eastAsiaTheme="minorHAnsi" w:cstheme="minorBidi"/>
          <w:noProof/>
          <w:szCs w:val="22"/>
          <w:lang w:val="en-US" w:eastAsia="en-US"/>
        </w:rPr>
        <w:t>. Nevertheless, under the current framework, stakeholders continue to report cases where journalists experience difficulties accessing events and official information</w:t>
      </w:r>
      <w:r w:rsidRPr="00933ED2">
        <w:rPr>
          <w:rFonts w:eastAsia="Calibri" w:cs="Arial"/>
          <w:noProof/>
          <w:szCs w:val="22"/>
          <w:vertAlign w:val="superscript"/>
          <w:lang w:val="en-US" w:eastAsia="en-US"/>
        </w:rPr>
        <w:footnoteReference w:id="169"/>
      </w:r>
      <w:r w:rsidRPr="00933ED2">
        <w:rPr>
          <w:rFonts w:eastAsiaTheme="minorHAnsi" w:cstheme="minorBidi"/>
          <w:noProof/>
          <w:szCs w:val="22"/>
          <w:lang w:val="en-US" w:eastAsia="en-US"/>
        </w:rPr>
        <w:t>. Overall, significant progress has been made on the recommendation to strengthen access to information.</w:t>
      </w:r>
    </w:p>
    <w:p w14:paraId="01584698" w14:textId="6AD9914A" w:rsidR="00933ED2" w:rsidRPr="00933ED2" w:rsidRDefault="00933ED2" w:rsidP="00933ED2">
      <w:pPr>
        <w:ind w:right="-46"/>
        <w:rPr>
          <w:rFonts w:eastAsiaTheme="minorHAnsi" w:cstheme="minorBidi"/>
          <w:noProof/>
          <w:szCs w:val="22"/>
          <w:lang w:val="en-IE" w:eastAsia="en-US"/>
        </w:rPr>
      </w:pPr>
      <w:r w:rsidRPr="00933ED2">
        <w:rPr>
          <w:rFonts w:eastAsiaTheme="minorHAnsi" w:cstheme="minorBidi"/>
          <w:b/>
          <w:bCs/>
          <w:noProof/>
          <w:szCs w:val="22"/>
          <w:lang w:val="en-IE" w:eastAsia="en-US"/>
        </w:rPr>
        <w:t xml:space="preserve">Work on related legislative proposals continues, while challenges regarding working conditions and safety of journalists persist, including online. </w:t>
      </w:r>
      <w:r w:rsidRPr="00933ED2">
        <w:rPr>
          <w:rFonts w:eastAsiaTheme="minorHAnsi" w:cstheme="minorBidi"/>
          <w:noProof/>
          <w:szCs w:val="22"/>
          <w:lang w:val="en-US" w:eastAsia="en-US"/>
        </w:rPr>
        <w:t>In 2025, Parliament’s internal rules of procedure were amended to introduce a formal framework of accreditation rules and behavioral standards defining journalists’ access and working conditions inside Parliament, a development generally welcomed by stakeholders</w:t>
      </w:r>
      <w:r w:rsidRPr="00933ED2">
        <w:rPr>
          <w:rFonts w:eastAsia="Calibri" w:cs="Arial"/>
          <w:noProof/>
          <w:szCs w:val="22"/>
          <w:vertAlign w:val="superscript"/>
          <w:lang w:val="en-US" w:eastAsia="en-US"/>
        </w:rPr>
        <w:footnoteReference w:id="170"/>
      </w:r>
      <w:r w:rsidRPr="00933ED2">
        <w:rPr>
          <w:rFonts w:eastAsiaTheme="minorHAnsi" w:cstheme="minorBidi"/>
          <w:noProof/>
          <w:szCs w:val="22"/>
          <w:lang w:val="en-US" w:eastAsia="en-US"/>
        </w:rPr>
        <w:t>. In July 2025, the Government approved the preliminary draft Organic Law regulating the right to secrecy of information professionals and media service providers</w:t>
      </w:r>
      <w:r w:rsidRPr="00933ED2">
        <w:rPr>
          <w:rFonts w:eastAsia="Calibri" w:cs="Arial"/>
          <w:noProof/>
          <w:szCs w:val="22"/>
          <w:vertAlign w:val="superscript"/>
          <w:lang w:val="en-US" w:eastAsia="en-US"/>
        </w:rPr>
        <w:footnoteReference w:id="171"/>
      </w:r>
      <w:r w:rsidRPr="00933ED2">
        <w:rPr>
          <w:rFonts w:eastAsiaTheme="minorHAnsi" w:cstheme="minorBidi"/>
          <w:noProof/>
          <w:szCs w:val="22"/>
          <w:lang w:val="en-US" w:eastAsia="en-US"/>
        </w:rPr>
        <w:t>. The proposal to amend the Citizen Security Law</w:t>
      </w:r>
      <w:r w:rsidRPr="00933ED2">
        <w:rPr>
          <w:rFonts w:eastAsiaTheme="minorHAnsi" w:cstheme="minorBidi"/>
          <w:noProof/>
          <w:szCs w:val="22"/>
          <w:vertAlign w:val="superscript"/>
          <w:lang w:val="en-US" w:eastAsia="en-US"/>
        </w:rPr>
        <w:footnoteReference w:id="172"/>
      </w:r>
      <w:r w:rsidRPr="00933ED2">
        <w:rPr>
          <w:rFonts w:eastAsiaTheme="minorHAnsi" w:cstheme="minorBidi"/>
          <w:noProof/>
          <w:szCs w:val="22"/>
          <w:lang w:val="en-US" w:eastAsia="en-US"/>
        </w:rPr>
        <w:t xml:space="preserve"> and </w:t>
      </w:r>
      <w:bookmarkStart w:id="28" w:name="_Hlk192846420"/>
      <w:r w:rsidRPr="00933ED2">
        <w:rPr>
          <w:rFonts w:eastAsiaTheme="minorHAnsi" w:cstheme="minorBidi"/>
          <w:noProof/>
          <w:szCs w:val="22"/>
          <w:lang w:val="en-US" w:eastAsia="en-US"/>
        </w:rPr>
        <w:t>the draft Organic Law on Rectification</w:t>
      </w:r>
      <w:bookmarkEnd w:id="28"/>
      <w:r w:rsidRPr="00933ED2">
        <w:rPr>
          <w:rFonts w:eastAsiaTheme="minorHAnsi" w:cstheme="minorBidi"/>
          <w:noProof/>
          <w:szCs w:val="22"/>
          <w:vertAlign w:val="superscript"/>
          <w:lang w:val="en-US" w:eastAsia="en-US"/>
        </w:rPr>
        <w:footnoteReference w:id="173"/>
      </w:r>
      <w:r w:rsidRPr="00933ED2">
        <w:rPr>
          <w:rFonts w:eastAsiaTheme="minorHAnsi" w:cstheme="minorBidi"/>
          <w:noProof/>
          <w:szCs w:val="22"/>
          <w:lang w:val="en-US" w:eastAsia="en-US"/>
        </w:rPr>
        <w:t xml:space="preserve"> are still being discussed in Parliament</w:t>
      </w:r>
      <w:r w:rsidRPr="00933ED2">
        <w:rPr>
          <w:rFonts w:eastAsia="Calibri" w:cs="Arial"/>
          <w:noProof/>
          <w:szCs w:val="22"/>
          <w:vertAlign w:val="superscript"/>
          <w:lang w:val="en-US" w:eastAsia="en-US"/>
        </w:rPr>
        <w:footnoteReference w:id="174"/>
      </w:r>
      <w:r w:rsidRPr="00933ED2">
        <w:rPr>
          <w:rFonts w:eastAsiaTheme="minorHAnsi" w:cstheme="minorBidi"/>
          <w:noProof/>
          <w:szCs w:val="22"/>
          <w:lang w:val="en-US" w:eastAsia="en-US"/>
        </w:rPr>
        <w:t>.</w:t>
      </w:r>
      <w:r w:rsidRPr="00933ED2">
        <w:rPr>
          <w:rFonts w:eastAsia="Calibri" w:cs="Arial"/>
          <w:noProof/>
          <w:szCs w:val="22"/>
          <w:lang w:val="en-US" w:eastAsia="en-US"/>
        </w:rPr>
        <w:t xml:space="preserve"> On 14 April 2026, the Government approved two preliminary draft laws that aim to transpose the EU Directive on strategic lawsuits against public participation (SLAPP)</w:t>
      </w:r>
      <w:r w:rsidR="009B4C03">
        <w:rPr>
          <w:rFonts w:eastAsia="Calibri" w:cs="Arial"/>
          <w:noProof/>
          <w:szCs w:val="22"/>
          <w:lang w:val="en-US" w:eastAsia="en-US"/>
        </w:rPr>
        <w:t xml:space="preserve"> and </w:t>
      </w:r>
      <w:r w:rsidRPr="00933ED2" w:rsidDel="004E5168">
        <w:rPr>
          <w:rFonts w:eastAsia="Calibri" w:cs="Arial"/>
          <w:noProof/>
          <w:szCs w:val="22"/>
          <w:lang w:val="en-US" w:eastAsia="en-US"/>
        </w:rPr>
        <w:t xml:space="preserve">are </w:t>
      </w:r>
      <w:r w:rsidR="00827C9A">
        <w:rPr>
          <w:rFonts w:eastAsia="Calibri" w:cs="Arial"/>
          <w:noProof/>
          <w:szCs w:val="22"/>
          <w:lang w:val="en-US" w:eastAsia="en-US"/>
        </w:rPr>
        <w:t>undergoing mandato</w:t>
      </w:r>
      <w:r w:rsidR="00E13128">
        <w:rPr>
          <w:rFonts w:eastAsia="Calibri" w:cs="Arial"/>
          <w:noProof/>
          <w:szCs w:val="22"/>
          <w:lang w:val="en-US" w:eastAsia="en-US"/>
        </w:rPr>
        <w:t>ry</w:t>
      </w:r>
      <w:r w:rsidR="0044067F">
        <w:rPr>
          <w:rFonts w:eastAsia="Calibri" w:cs="Arial"/>
          <w:noProof/>
          <w:szCs w:val="22"/>
          <w:lang w:val="en-US" w:eastAsia="en-US"/>
        </w:rPr>
        <w:t xml:space="preserve"> consultation</w:t>
      </w:r>
      <w:r w:rsidRPr="00933ED2">
        <w:rPr>
          <w:rFonts w:eastAsiaTheme="minorHAnsi" w:cstheme="minorBidi"/>
          <w:bCs/>
          <w:noProof/>
          <w:szCs w:val="22"/>
          <w:vertAlign w:val="superscript"/>
          <w:lang w:val="en-US" w:eastAsia="en-US"/>
        </w:rPr>
        <w:footnoteReference w:id="175"/>
      </w:r>
      <w:r w:rsidRPr="00933ED2">
        <w:rPr>
          <w:rFonts w:eastAsiaTheme="minorHAnsi" w:cstheme="minorBidi"/>
          <w:bCs/>
          <w:noProof/>
          <w:szCs w:val="22"/>
          <w:lang w:val="en-US" w:eastAsia="en-US"/>
        </w:rPr>
        <w:t>.</w:t>
      </w:r>
      <w:r w:rsidRPr="00933ED2">
        <w:rPr>
          <w:rFonts w:eastAsiaTheme="minorHAnsi" w:cstheme="minorBidi"/>
          <w:noProof/>
          <w:szCs w:val="22"/>
          <w:lang w:val="en-US" w:eastAsia="en-US"/>
        </w:rPr>
        <w:t xml:space="preserve"> </w:t>
      </w:r>
      <w:r w:rsidRPr="00933ED2">
        <w:rPr>
          <w:rFonts w:eastAsiaTheme="minorHAnsi" w:cstheme="minorBidi"/>
          <w:noProof/>
          <w:szCs w:val="22"/>
          <w:lang w:val="en-IE" w:eastAsia="en-US"/>
        </w:rPr>
        <w:t xml:space="preserve">This draft set of measures covers also domestic SLAPP cases. </w:t>
      </w:r>
      <w:r w:rsidRPr="00933ED2">
        <w:rPr>
          <w:rFonts w:eastAsia="Calibri" w:cs="Arial"/>
          <w:noProof/>
          <w:szCs w:val="22"/>
          <w:lang w:val="en-US" w:eastAsia="en-US"/>
        </w:rPr>
        <w:t>A EUR 70 million Spanish State aid scheme has been approved for the digitalisation of print media</w:t>
      </w:r>
      <w:r w:rsidRPr="00933ED2">
        <w:rPr>
          <w:rFonts w:eastAsiaTheme="minorHAnsi" w:cstheme="minorBidi"/>
          <w:noProof/>
          <w:szCs w:val="22"/>
          <w:lang w:val="en-US" w:eastAsia="en-US"/>
        </w:rPr>
        <w:t xml:space="preserve"> </w:t>
      </w:r>
      <w:r w:rsidRPr="00933ED2">
        <w:rPr>
          <w:rFonts w:eastAsia="Calibri" w:cs="Arial"/>
          <w:noProof/>
          <w:szCs w:val="22"/>
          <w:lang w:val="en-US" w:eastAsia="en-US"/>
        </w:rPr>
        <w:t>intended to support modernisation of activities, ensure economic sustainability, improve resilience and competitiveness and promote media pluralism</w:t>
      </w:r>
      <w:r w:rsidRPr="00933ED2">
        <w:rPr>
          <w:rFonts w:eastAsia="Calibri" w:cs="Arial"/>
          <w:noProof/>
          <w:szCs w:val="22"/>
          <w:vertAlign w:val="superscript"/>
          <w:lang w:val="en-US" w:eastAsia="en-US"/>
        </w:rPr>
        <w:footnoteReference w:id="176"/>
      </w:r>
      <w:r w:rsidRPr="00933ED2">
        <w:rPr>
          <w:rFonts w:eastAsia="Calibri" w:cs="Arial"/>
          <w:noProof/>
          <w:szCs w:val="22"/>
          <w:lang w:val="en-US" w:eastAsia="en-US"/>
        </w:rPr>
        <w:t>.</w:t>
      </w:r>
      <w:r w:rsidRPr="00933ED2">
        <w:rPr>
          <w:rFonts w:eastAsiaTheme="minorHAnsi" w:cstheme="minorBidi"/>
          <w:noProof/>
          <w:szCs w:val="22"/>
          <w:lang w:val="en-US" w:eastAsia="en-US"/>
        </w:rPr>
        <w:t xml:space="preserve"> Since the publication of the 2025 Rule of Law Report, six new alerts have been recorded for Spain in the Council of Europe’s Platform to Promote the Protection of Journalism and Safety of Journalists</w:t>
      </w:r>
      <w:r w:rsidRPr="00933ED2">
        <w:rPr>
          <w:rFonts w:eastAsiaTheme="minorHAnsi" w:cstheme="minorBidi"/>
          <w:noProof/>
          <w:szCs w:val="22"/>
          <w:vertAlign w:val="superscript"/>
          <w:lang w:val="en-US" w:eastAsia="en-US"/>
        </w:rPr>
        <w:footnoteReference w:id="177"/>
      </w:r>
      <w:r w:rsidRPr="00933ED2">
        <w:rPr>
          <w:rFonts w:eastAsiaTheme="minorHAnsi" w:cstheme="minorBidi"/>
          <w:noProof/>
          <w:szCs w:val="22"/>
          <w:lang w:val="en-US" w:eastAsia="en-US"/>
        </w:rPr>
        <w:t>, relating to attacks on physical safety and integrity and harassment and intimidation of journalists</w:t>
      </w:r>
      <w:r w:rsidRPr="00933ED2">
        <w:rPr>
          <w:rFonts w:eastAsiaTheme="minorHAnsi" w:cstheme="minorBidi"/>
          <w:noProof/>
          <w:szCs w:val="22"/>
          <w:vertAlign w:val="superscript"/>
          <w:lang w:val="en-US" w:eastAsia="en-US"/>
        </w:rPr>
        <w:footnoteReference w:id="178"/>
      </w:r>
      <w:r w:rsidRPr="00933ED2">
        <w:rPr>
          <w:rFonts w:eastAsiaTheme="minorHAnsi" w:cstheme="minorBidi"/>
          <w:noProof/>
          <w:szCs w:val="22"/>
          <w:lang w:val="en-US" w:eastAsia="en-US"/>
        </w:rPr>
        <w:t>. The Media Freedom Rapid Response platform</w:t>
      </w:r>
      <w:r w:rsidRPr="00933ED2">
        <w:rPr>
          <w:rFonts w:eastAsiaTheme="minorHAnsi" w:cstheme="minorBidi"/>
          <w:noProof/>
          <w:szCs w:val="22"/>
          <w:vertAlign w:val="superscript"/>
          <w:lang w:val="en-US" w:eastAsia="en-US"/>
        </w:rPr>
        <w:footnoteReference w:id="179"/>
      </w:r>
      <w:r w:rsidRPr="00933ED2">
        <w:rPr>
          <w:rFonts w:eastAsiaTheme="minorHAnsi" w:cstheme="minorBidi"/>
          <w:noProof/>
          <w:szCs w:val="22"/>
          <w:lang w:val="en-US" w:eastAsia="en-US"/>
        </w:rPr>
        <w:t xml:space="preserve"> has recorded 53 new alerts relating mainly to physical attacks, harassment, legal intimidation, obstruction of access and editorial interference. Stakeholders continue to report cases of physical attacks, online harassment and targeting by public officials or political figures</w:t>
      </w:r>
      <w:r w:rsidRPr="00933ED2">
        <w:rPr>
          <w:rFonts w:eastAsia="Calibri" w:cs="Arial"/>
          <w:noProof/>
          <w:szCs w:val="22"/>
          <w:vertAlign w:val="superscript"/>
          <w:lang w:val="en-US" w:eastAsia="en-US"/>
        </w:rPr>
        <w:footnoteReference w:id="180"/>
      </w:r>
      <w:r w:rsidRPr="00933ED2">
        <w:rPr>
          <w:rFonts w:eastAsiaTheme="minorHAnsi" w:cstheme="minorBidi"/>
          <w:noProof/>
          <w:szCs w:val="22"/>
          <w:lang w:val="en-US" w:eastAsia="en-US"/>
        </w:rPr>
        <w:t xml:space="preserve">. In particular, </w:t>
      </w:r>
      <w:r w:rsidRPr="00933ED2">
        <w:rPr>
          <w:rFonts w:eastAsiaTheme="minorHAnsi" w:cstheme="minorBidi"/>
          <w:noProof/>
          <w:szCs w:val="22"/>
          <w:lang w:val="en-US" w:eastAsia="fr-FR"/>
        </w:rPr>
        <w:t>a recent report presented by the Spanish Ministry of Equality notes that 73% of Spanish women journalists suffer from continuous harassment on social media, resulting in self-censorship, among other consequences</w:t>
      </w:r>
      <w:r w:rsidRPr="00933ED2">
        <w:rPr>
          <w:rFonts w:eastAsia="Calibri" w:cs="Arial"/>
          <w:noProof/>
          <w:szCs w:val="22"/>
          <w:vertAlign w:val="superscript"/>
          <w:lang w:val="en-US" w:eastAsia="en-US"/>
        </w:rPr>
        <w:footnoteReference w:id="181"/>
      </w:r>
      <w:r w:rsidRPr="00933ED2">
        <w:rPr>
          <w:rFonts w:eastAsiaTheme="minorHAnsi" w:cstheme="minorBidi"/>
          <w:noProof/>
          <w:szCs w:val="22"/>
          <w:lang w:val="en-US" w:eastAsia="fr-FR"/>
        </w:rPr>
        <w:t>.</w:t>
      </w:r>
      <w:r w:rsidRPr="00933ED2">
        <w:rPr>
          <w:rFonts w:eastAsiaTheme="minorHAnsi" w:cstheme="minorBidi"/>
          <w:noProof/>
          <w:szCs w:val="22"/>
          <w:lang w:val="en-US" w:eastAsia="en-US"/>
        </w:rPr>
        <w:t xml:space="preserve"> As regards journalists’ working conditions, stakeholders report on their precariousness as ultimately undermining journalistic independence and as exacerbated by short-term contracts, the impact of AI and the media market’s challenges stemming from its increasing digitalisation</w:t>
      </w:r>
      <w:r w:rsidRPr="00933ED2">
        <w:rPr>
          <w:rFonts w:eastAsiaTheme="minorHAnsi" w:cstheme="minorBidi"/>
          <w:noProof/>
          <w:szCs w:val="22"/>
          <w:vertAlign w:val="superscript"/>
          <w:lang w:val="en-US" w:eastAsia="en-US"/>
        </w:rPr>
        <w:footnoteReference w:id="182"/>
      </w:r>
      <w:r w:rsidRPr="00933ED2">
        <w:rPr>
          <w:rFonts w:eastAsiaTheme="minorHAnsi" w:cstheme="minorBidi"/>
          <w:noProof/>
          <w:szCs w:val="22"/>
          <w:lang w:val="en-US" w:eastAsia="en-US"/>
        </w:rPr>
        <w:t>.</w:t>
      </w:r>
    </w:p>
    <w:p w14:paraId="3298DD15" w14:textId="77777777" w:rsidR="00933ED2" w:rsidRPr="00933ED2" w:rsidRDefault="00933ED2" w:rsidP="001877F5">
      <w:pPr>
        <w:pStyle w:val="ListParagraph"/>
        <w:keepNext/>
        <w:numPr>
          <w:ilvl w:val="0"/>
          <w:numId w:val="39"/>
        </w:numPr>
        <w:outlineLvl w:val="0"/>
        <w:rPr>
          <w:b/>
          <w:smallCaps/>
          <w:noProof/>
          <w:szCs w:val="24"/>
          <w:u w:val="single"/>
          <w:lang w:eastAsia="fr-FR"/>
        </w:rPr>
      </w:pPr>
      <w:r w:rsidRPr="00933ED2">
        <w:rPr>
          <w:b/>
          <w:smallCaps/>
          <w:noProof/>
          <w:szCs w:val="24"/>
          <w:u w:val="single"/>
          <w:lang w:eastAsia="fr-FR"/>
        </w:rPr>
        <w:t>Other Institutional Issues related to Checks and Balances</w:t>
      </w:r>
    </w:p>
    <w:p w14:paraId="2D663A62" w14:textId="328F9849" w:rsidR="00933ED2" w:rsidRPr="00E152BB" w:rsidRDefault="00C15782" w:rsidP="00933ED2">
      <w:pPr>
        <w:rPr>
          <w:rFonts w:eastAsiaTheme="minorHAnsi" w:cstheme="minorBidi"/>
          <w:noProof/>
          <w:szCs w:val="22"/>
          <w:lang w:eastAsia="en-US"/>
        </w:rPr>
      </w:pPr>
      <w:r w:rsidRPr="00C15782">
        <w:rPr>
          <w:b/>
          <w:noProof/>
          <w:lang w:eastAsia="fr-FR"/>
        </w:rPr>
        <w:t>The Court of Justice has delivered two judgments following preliminary ruling requests on the Amnesty Law</w:t>
      </w:r>
      <w:r w:rsidR="00E25894">
        <w:rPr>
          <w:b/>
          <w:noProof/>
          <w:lang w:eastAsia="fr-FR"/>
        </w:rPr>
        <w:t>; o</w:t>
      </w:r>
      <w:r w:rsidR="00F874D8" w:rsidRPr="00F874D8">
        <w:rPr>
          <w:b/>
          <w:bCs/>
          <w:noProof/>
          <w:lang w:eastAsia="fr-FR"/>
        </w:rPr>
        <w:t>ther requests for a preliminary ruling are pending before the Court of Justice</w:t>
      </w:r>
      <w:r w:rsidR="00933ED2" w:rsidRPr="003A42B2">
        <w:rPr>
          <w:b/>
          <w:noProof/>
          <w:lang w:eastAsia="fr-FR"/>
        </w:rPr>
        <w:t xml:space="preserve">. </w:t>
      </w:r>
      <w:r w:rsidR="00933ED2" w:rsidRPr="003A42B2">
        <w:rPr>
          <w:rFonts w:eastAsiaTheme="minorHAnsi" w:cstheme="minorBidi"/>
          <w:noProof/>
          <w:szCs w:val="22"/>
          <w:lang w:val="en-IE" w:eastAsia="en-US"/>
        </w:rPr>
        <w:t>The Amnesty Law</w:t>
      </w:r>
      <w:r w:rsidR="00933ED2" w:rsidRPr="003A42B2">
        <w:rPr>
          <w:rFonts w:eastAsiaTheme="minorHAnsi" w:cstheme="minorBidi"/>
          <w:noProof/>
          <w:szCs w:val="22"/>
          <w:vertAlign w:val="superscript"/>
          <w:lang w:val="en-IE" w:eastAsia="en-US"/>
        </w:rPr>
        <w:footnoteReference w:id="183"/>
      </w:r>
      <w:r w:rsidR="00933ED2" w:rsidRPr="003A42B2">
        <w:rPr>
          <w:rFonts w:eastAsiaTheme="minorHAnsi" w:cstheme="minorBidi"/>
          <w:noProof/>
          <w:szCs w:val="22"/>
          <w:lang w:val="en-IE" w:eastAsia="en-US"/>
        </w:rPr>
        <w:t xml:space="preserve"> entered int</w:t>
      </w:r>
      <w:r w:rsidR="00933ED2" w:rsidRPr="00D01DDD">
        <w:rPr>
          <w:rFonts w:eastAsiaTheme="minorHAnsi" w:cstheme="minorBidi"/>
          <w:noProof/>
          <w:szCs w:val="22"/>
          <w:lang w:val="en-IE" w:eastAsia="en-US"/>
        </w:rPr>
        <w:t xml:space="preserve">o force on 11 June 2024 and was declared </w:t>
      </w:r>
      <w:r w:rsidR="005771C4" w:rsidRPr="00D01DDD">
        <w:rPr>
          <w:rFonts w:eastAsiaTheme="minorHAnsi" w:cstheme="minorBidi"/>
          <w:noProof/>
          <w:szCs w:val="22"/>
          <w:lang w:val="en-IE" w:eastAsia="en-US"/>
        </w:rPr>
        <w:t xml:space="preserve">by the Spanish Constitutional Court </w:t>
      </w:r>
      <w:r w:rsidR="00933ED2" w:rsidRPr="00D01DDD">
        <w:rPr>
          <w:rFonts w:eastAsiaTheme="minorHAnsi" w:cstheme="minorBidi"/>
          <w:noProof/>
          <w:szCs w:val="22"/>
          <w:lang w:val="en-IE" w:eastAsia="en-US"/>
        </w:rPr>
        <w:t>to be compatible with the Constitution on 26 June 2025</w:t>
      </w:r>
      <w:r w:rsidR="00933ED2" w:rsidRPr="00D01DDD">
        <w:rPr>
          <w:rFonts w:eastAsiaTheme="minorHAnsi" w:cstheme="minorBidi"/>
          <w:noProof/>
          <w:szCs w:val="22"/>
          <w:vertAlign w:val="superscript"/>
          <w:lang w:val="en-IE" w:eastAsia="en-US"/>
        </w:rPr>
        <w:footnoteReference w:id="184"/>
      </w:r>
      <w:r w:rsidR="00933ED2" w:rsidRPr="00D01DDD">
        <w:rPr>
          <w:rFonts w:eastAsiaTheme="minorHAnsi" w:cstheme="minorBidi"/>
          <w:noProof/>
          <w:szCs w:val="22"/>
          <w:lang w:val="en-IE" w:eastAsia="en-US"/>
        </w:rPr>
        <w:t>. Certain aspects of the law were referred to the Cour</w:t>
      </w:r>
      <w:r w:rsidR="00933ED2" w:rsidRPr="003A42B2">
        <w:rPr>
          <w:rFonts w:eastAsiaTheme="minorHAnsi" w:cstheme="minorBidi"/>
          <w:noProof/>
          <w:szCs w:val="22"/>
          <w:lang w:val="en-IE" w:eastAsia="en-US"/>
        </w:rPr>
        <w:t>t of Justice of the European Union for a preliminary ruling by Spanish Courts</w:t>
      </w:r>
      <w:r w:rsidR="00933ED2" w:rsidRPr="003A42B2">
        <w:rPr>
          <w:rFonts w:eastAsiaTheme="minorHAnsi" w:cstheme="minorBidi"/>
          <w:noProof/>
          <w:szCs w:val="22"/>
          <w:vertAlign w:val="superscript"/>
          <w:lang w:val="en-IE" w:eastAsia="en-US"/>
        </w:rPr>
        <w:footnoteReference w:id="185"/>
      </w:r>
      <w:r w:rsidR="00933ED2" w:rsidRPr="003A42B2">
        <w:rPr>
          <w:rFonts w:eastAsiaTheme="minorHAnsi" w:cstheme="minorBidi"/>
          <w:noProof/>
          <w:szCs w:val="22"/>
          <w:lang w:val="en-IE" w:eastAsia="en-US"/>
        </w:rPr>
        <w:t>.</w:t>
      </w:r>
      <w:r w:rsidR="00933ED2" w:rsidRPr="003A42B2" w:rsidDel="0004676E">
        <w:rPr>
          <w:rFonts w:eastAsiaTheme="minorHAnsi" w:cstheme="minorBidi"/>
          <w:noProof/>
          <w:szCs w:val="22"/>
          <w:lang w:val="en-IE" w:eastAsia="en-US"/>
        </w:rPr>
        <w:t xml:space="preserve"> </w:t>
      </w:r>
      <w:r w:rsidR="00E93F16" w:rsidRPr="00E93F16">
        <w:rPr>
          <w:rFonts w:eastAsiaTheme="minorHAnsi" w:cstheme="minorBidi"/>
          <w:noProof/>
          <w:szCs w:val="22"/>
          <w:lang w:val="en-IE" w:eastAsia="en-US"/>
        </w:rPr>
        <w:t>On 16 July 2026, the Court issued judgments in two of these preliminary ruling cases</w:t>
      </w:r>
      <w:r w:rsidR="003F7E36">
        <w:rPr>
          <w:rStyle w:val="FootnoteReference"/>
          <w:rFonts w:eastAsiaTheme="minorHAnsi" w:cstheme="minorBidi"/>
          <w:noProof/>
          <w:szCs w:val="22"/>
          <w:lang w:val="en-IE" w:eastAsia="en-US"/>
        </w:rPr>
        <w:footnoteReference w:id="186"/>
      </w:r>
      <w:r w:rsidR="00C75E3C">
        <w:rPr>
          <w:rFonts w:eastAsiaTheme="minorHAnsi" w:cstheme="minorBidi"/>
          <w:noProof/>
          <w:szCs w:val="22"/>
          <w:lang w:val="en-IE" w:eastAsia="en-US"/>
        </w:rPr>
        <w:t xml:space="preserve">, </w:t>
      </w:r>
      <w:r w:rsidR="00E25894" w:rsidRPr="00E25894">
        <w:rPr>
          <w:rFonts w:eastAsiaTheme="minorHAnsi" w:cstheme="minorBidi"/>
          <w:noProof/>
          <w:szCs w:val="22"/>
          <w:lang w:eastAsia="en-US"/>
        </w:rPr>
        <w:t>and other requests for a preliminary ruling are pending before the Court of Justice</w:t>
      </w:r>
      <w:r w:rsidR="00E25894">
        <w:rPr>
          <w:rStyle w:val="FootnoteReference"/>
          <w:rFonts w:eastAsiaTheme="minorHAnsi" w:cstheme="minorBidi"/>
          <w:noProof/>
          <w:szCs w:val="22"/>
          <w:lang w:eastAsia="en-US"/>
        </w:rPr>
        <w:footnoteReference w:id="187"/>
      </w:r>
      <w:r w:rsidR="00933ED2" w:rsidRPr="003A42B2">
        <w:rPr>
          <w:rFonts w:eastAsiaTheme="minorHAnsi" w:cstheme="minorBidi"/>
          <w:noProof/>
          <w:szCs w:val="22"/>
          <w:lang w:val="en-IE" w:eastAsia="en-US"/>
        </w:rPr>
        <w:t>.</w:t>
      </w:r>
    </w:p>
    <w:p w14:paraId="45DA9915" w14:textId="77777777" w:rsidR="00933ED2" w:rsidRPr="00933ED2" w:rsidRDefault="00933ED2" w:rsidP="00933ED2">
      <w:pPr>
        <w:rPr>
          <w:rFonts w:eastAsia="Calibri"/>
          <w:noProof/>
          <w:szCs w:val="22"/>
          <w:lang w:eastAsia="en-US"/>
          <w14:ligatures w14:val="standardContextual"/>
        </w:rPr>
      </w:pPr>
      <w:r w:rsidRPr="00933ED2">
        <w:rPr>
          <w:b/>
          <w:bCs/>
          <w:noProof/>
          <w:szCs w:val="22"/>
          <w:lang w:eastAsia="fr-FR"/>
        </w:rPr>
        <w:t xml:space="preserve">More than half of companies surveyed in Spain express confidence in the effectiveness of investment protection. </w:t>
      </w:r>
      <w:r w:rsidRPr="00933ED2">
        <w:rPr>
          <w:rFonts w:eastAsia="Calibri"/>
          <w:noProof/>
          <w:szCs w:val="22"/>
          <w:lang w:val="en-US" w:eastAsia="en-US"/>
        </w:rPr>
        <w:t>52% of companies are very or fairly confident that investments are protected by law and courts, a figure which has increased in comparison with 2025 (47%)</w:t>
      </w:r>
      <w:r w:rsidRPr="00933ED2">
        <w:rPr>
          <w:rFonts w:eastAsia="Calibri"/>
          <w:noProof/>
          <w:szCs w:val="22"/>
          <w:vertAlign w:val="superscript"/>
          <w:lang w:val="en-US" w:eastAsia="en-US"/>
        </w:rPr>
        <w:footnoteReference w:id="188"/>
      </w:r>
      <w:r w:rsidRPr="00933ED2">
        <w:rPr>
          <w:rFonts w:eastAsia="Calibri"/>
          <w:noProof/>
          <w:szCs w:val="22"/>
          <w:lang w:val="en-US" w:eastAsia="en-US"/>
        </w:rPr>
        <w:t>. As regards authorities relevant for economic operators, 42% of companies perceive the level of independence of the national competition authority (National Markets and Competition Commission) as very or fairly good, a figure which has significantly decreased in comparison with 2025 (62%)</w:t>
      </w:r>
      <w:r w:rsidRPr="00933ED2">
        <w:rPr>
          <w:rFonts w:eastAsia="Calibri"/>
          <w:noProof/>
          <w:szCs w:val="22"/>
          <w:vertAlign w:val="superscript"/>
          <w:lang w:val="en-US" w:eastAsia="en-US"/>
        </w:rPr>
        <w:footnoteReference w:id="189"/>
      </w:r>
      <w:r w:rsidRPr="00933ED2">
        <w:rPr>
          <w:rFonts w:eastAsia="Calibri"/>
          <w:noProof/>
          <w:szCs w:val="22"/>
          <w:lang w:val="en-US" w:eastAsia="en-US"/>
        </w:rPr>
        <w:t xml:space="preserve">. </w:t>
      </w:r>
      <w:r w:rsidRPr="00933ED2">
        <w:rPr>
          <w:rFonts w:eastAsia="Calibri"/>
          <w:noProof/>
          <w:szCs w:val="22"/>
          <w:lang w:eastAsia="en-US"/>
          <w14:ligatures w14:val="standardContextual"/>
        </w:rPr>
        <w:t>The Supreme Court has jurisdiction in several business-related cases, including in cases related to public procurement, public concessions, public contracts and economic regulation. A number of judicial mechanisms to improve efficiency are available in these cases, including the possibility to apply interim measures, joint examination of similar cases and the consolidation of multiple appeals</w:t>
      </w:r>
      <w:r w:rsidRPr="00933ED2">
        <w:rPr>
          <w:rFonts w:eastAsia="Calibri"/>
          <w:noProof/>
          <w:szCs w:val="22"/>
          <w:vertAlign w:val="superscript"/>
          <w:lang w:eastAsia="en-US"/>
          <w14:ligatures w14:val="standardContextual"/>
        </w:rPr>
        <w:footnoteReference w:id="190"/>
      </w:r>
      <w:r w:rsidRPr="00933ED2">
        <w:rPr>
          <w:rFonts w:eastAsia="Calibri"/>
          <w:noProof/>
          <w:szCs w:val="22"/>
          <w:lang w:eastAsia="en-US"/>
          <w14:ligatures w14:val="standardContextual"/>
        </w:rPr>
        <w:t>.</w:t>
      </w:r>
    </w:p>
    <w:p w14:paraId="6E2F83CB" w14:textId="69C9288F" w:rsidR="00933ED2" w:rsidRPr="00933ED2" w:rsidRDefault="00933ED2" w:rsidP="00933ED2">
      <w:pPr>
        <w:spacing w:after="200"/>
        <w:rPr>
          <w:rFonts w:eastAsiaTheme="minorHAnsi" w:cstheme="minorBidi"/>
          <w:noProof/>
          <w:szCs w:val="22"/>
          <w:lang w:val="en-IE" w:eastAsia="en-US"/>
        </w:rPr>
      </w:pPr>
      <w:r w:rsidRPr="00933ED2">
        <w:rPr>
          <w:rFonts w:eastAsia="Calibri"/>
          <w:b/>
          <w:bCs/>
          <w:noProof/>
          <w:szCs w:val="22"/>
          <w:lang w:eastAsia="en-US"/>
        </w:rPr>
        <w:t>The draft law amending the Code of Criminal Procedure, including as regards popular action in criminal investigations, is under discussion in the Parliament.</w:t>
      </w:r>
      <w:r w:rsidRPr="00933ED2">
        <w:rPr>
          <w:rFonts w:eastAsia="Calibri"/>
          <w:noProof/>
          <w:szCs w:val="22"/>
          <w:lang w:eastAsia="en-US"/>
        </w:rPr>
        <w:t xml:space="preserve"> Popular action (</w:t>
      </w:r>
      <w:r w:rsidRPr="00933ED2">
        <w:rPr>
          <w:rFonts w:eastAsia="Calibri"/>
          <w:i/>
          <w:iCs/>
          <w:noProof/>
          <w:szCs w:val="22"/>
          <w:lang w:eastAsia="en-US"/>
        </w:rPr>
        <w:t>acción popular</w:t>
      </w:r>
      <w:r w:rsidRPr="00933ED2">
        <w:rPr>
          <w:rFonts w:eastAsia="Calibri"/>
          <w:noProof/>
          <w:szCs w:val="22"/>
          <w:lang w:eastAsia="en-US"/>
        </w:rPr>
        <w:t xml:space="preserve">) is a legal procedural mechanism, enshrined in Article 125 of the Spanish Constitution and developed in the Code of Criminal Procedure, </w:t>
      </w:r>
      <w:r w:rsidRPr="00933ED2">
        <w:rPr>
          <w:rFonts w:eastAsiaTheme="minorHAnsi" w:cstheme="minorBidi"/>
          <w:noProof/>
          <w:szCs w:val="22"/>
          <w:lang w:val="en-IE" w:eastAsia="en-US"/>
        </w:rPr>
        <w:t>which enables natural and legal persons to bring criminal action and intervene in criminal proceedings as a party without being directly affected or harmed by a criminal offence. The draft law amending the Code of Criminal Procedure</w:t>
      </w:r>
      <w:r w:rsidRPr="00933ED2">
        <w:rPr>
          <w:rFonts w:eastAsiaTheme="minorHAnsi" w:cstheme="minorBidi"/>
          <w:noProof/>
          <w:szCs w:val="22"/>
          <w:vertAlign w:val="superscript"/>
          <w:lang w:val="en-IE" w:eastAsia="en-US"/>
        </w:rPr>
        <w:footnoteReference w:id="191"/>
      </w:r>
      <w:r w:rsidRPr="00933ED2">
        <w:rPr>
          <w:rFonts w:eastAsiaTheme="minorHAnsi" w:cstheme="minorBidi"/>
          <w:noProof/>
          <w:szCs w:val="22"/>
          <w:lang w:val="en-IE" w:eastAsia="en-US"/>
        </w:rPr>
        <w:t>, tabled in the Parliament in October 2025, includes certain amendments with the aim to prevent perceived abuses of the mechanism</w:t>
      </w:r>
      <w:r w:rsidRPr="00933ED2" w:rsidDel="00D365AC">
        <w:rPr>
          <w:rFonts w:eastAsiaTheme="minorHAnsi" w:cstheme="minorBidi"/>
          <w:noProof/>
          <w:szCs w:val="22"/>
          <w:lang w:val="en-IE" w:eastAsia="en-US"/>
        </w:rPr>
        <w:t xml:space="preserve"> </w:t>
      </w:r>
      <w:r w:rsidRPr="00933ED2">
        <w:rPr>
          <w:rFonts w:eastAsiaTheme="minorHAnsi" w:cstheme="minorBidi"/>
          <w:noProof/>
          <w:szCs w:val="22"/>
          <w:lang w:val="en-IE" w:eastAsia="en-US"/>
        </w:rPr>
        <w:t xml:space="preserve">on popular action. The proposed legislation intends to restrict the scope of criminal offences eligible for popular action, requiring individuals to demonstrate a direct, relevant, and substantial connection to the public interest at stake in the related criminal proceedings, and prohibiting political parties, their affiliated associations, judges, prosecutors, and their respective associations from exercising this right. </w:t>
      </w:r>
    </w:p>
    <w:p w14:paraId="2FDFFE14" w14:textId="4C76DBE4" w:rsidR="00933ED2" w:rsidRPr="00933ED2" w:rsidRDefault="00933ED2" w:rsidP="00933ED2">
      <w:pPr>
        <w:rPr>
          <w:rFonts w:eastAsiaTheme="minorHAnsi"/>
          <w:noProof/>
          <w:szCs w:val="22"/>
          <w:lang w:val="en-IE" w:eastAsia="en-US"/>
        </w:rPr>
      </w:pPr>
      <w:r w:rsidRPr="00933ED2">
        <w:rPr>
          <w:rFonts w:eastAsiaTheme="minorHAnsi"/>
          <w:b/>
          <w:bCs/>
          <w:noProof/>
          <w:szCs w:val="22"/>
          <w:lang w:val="en-IE" w:eastAsia="en-US"/>
        </w:rPr>
        <w:t>On 1 January 2026, Spain had 18 leading judgments of the European Court of Human Rights pending implementation, a decrease of 5 as compared with the previous year</w:t>
      </w:r>
      <w:r w:rsidRPr="00933ED2">
        <w:rPr>
          <w:rFonts w:eastAsiaTheme="minorHAnsi"/>
          <w:b/>
          <w:bCs/>
          <w:noProof/>
          <w:szCs w:val="22"/>
          <w:vertAlign w:val="superscript"/>
          <w:lang w:val="en-US" w:eastAsia="en-US"/>
        </w:rPr>
        <w:footnoteReference w:id="192"/>
      </w:r>
      <w:r w:rsidRPr="00933ED2">
        <w:rPr>
          <w:rFonts w:eastAsiaTheme="minorHAnsi"/>
          <w:b/>
          <w:bCs/>
          <w:noProof/>
          <w:szCs w:val="22"/>
          <w:lang w:val="en-IE" w:eastAsia="en-US"/>
        </w:rPr>
        <w:t xml:space="preserve">. </w:t>
      </w:r>
      <w:r w:rsidRPr="00933ED2">
        <w:rPr>
          <w:rFonts w:eastAsiaTheme="minorHAnsi"/>
          <w:noProof/>
          <w:szCs w:val="22"/>
          <w:lang w:val="en-IE" w:eastAsia="en-US"/>
        </w:rPr>
        <w:t>At that time, Spain’s rate of leading judgments from the past 10 years that had been implemented was at</w:t>
      </w:r>
      <w:r w:rsidRPr="00933ED2" w:rsidDel="00DD5413">
        <w:rPr>
          <w:rFonts w:eastAsiaTheme="minorHAnsi"/>
          <w:noProof/>
          <w:szCs w:val="22"/>
          <w:lang w:val="en-IE" w:eastAsia="en-US"/>
        </w:rPr>
        <w:t xml:space="preserve"> </w:t>
      </w:r>
      <w:r w:rsidRPr="00933ED2">
        <w:rPr>
          <w:rFonts w:eastAsiaTheme="minorHAnsi"/>
          <w:noProof/>
          <w:szCs w:val="22"/>
          <w:lang w:val="en-IE" w:eastAsia="en-US"/>
        </w:rPr>
        <w:t>62% (compared to 52% in 2025; 38% remained pending), and the average time that the judgments had been pending implementation was 4 years (compared to 3 years and 3 months in 202</w:t>
      </w:r>
      <w:r w:rsidR="009F2B72">
        <w:rPr>
          <w:rFonts w:eastAsiaTheme="minorHAnsi"/>
          <w:noProof/>
          <w:szCs w:val="22"/>
          <w:lang w:val="en-IE" w:eastAsia="en-US"/>
        </w:rPr>
        <w:t>5</w:t>
      </w:r>
      <w:r w:rsidRPr="00933ED2">
        <w:rPr>
          <w:rFonts w:eastAsiaTheme="minorHAnsi"/>
          <w:noProof/>
          <w:szCs w:val="22"/>
          <w:lang w:val="en-IE" w:eastAsia="en-US"/>
        </w:rPr>
        <w:t>)</w:t>
      </w:r>
      <w:r w:rsidRPr="00933ED2">
        <w:rPr>
          <w:rFonts w:eastAsiaTheme="minorHAnsi"/>
          <w:noProof/>
          <w:szCs w:val="22"/>
          <w:vertAlign w:val="superscript"/>
          <w:lang w:val="en-US" w:eastAsia="en-US"/>
        </w:rPr>
        <w:footnoteReference w:id="193"/>
      </w:r>
      <w:r w:rsidRPr="00933ED2">
        <w:rPr>
          <w:rFonts w:eastAsiaTheme="minorHAnsi"/>
          <w:noProof/>
          <w:szCs w:val="22"/>
          <w:lang w:val="en-IE" w:eastAsia="en-US"/>
        </w:rPr>
        <w:t>. The oldest leading judgment, which became final more than 11 years ago, concerns the lack of an effective suspensive remedy against decisions to remove asylum seekers</w:t>
      </w:r>
      <w:r w:rsidRPr="00933ED2">
        <w:rPr>
          <w:rFonts w:eastAsiaTheme="minorHAnsi"/>
          <w:noProof/>
          <w:szCs w:val="22"/>
          <w:vertAlign w:val="superscript"/>
          <w:lang w:val="en-US" w:eastAsia="en-US"/>
        </w:rPr>
        <w:footnoteReference w:id="194"/>
      </w:r>
      <w:r w:rsidRPr="00933ED2">
        <w:rPr>
          <w:rFonts w:eastAsiaTheme="minorHAnsi"/>
          <w:noProof/>
          <w:szCs w:val="22"/>
          <w:lang w:val="en-IE" w:eastAsia="en-US"/>
        </w:rPr>
        <w:t>.</w:t>
      </w:r>
      <w:r w:rsidRPr="00933ED2">
        <w:rPr>
          <w:rFonts w:eastAsiaTheme="minorHAnsi"/>
          <w:b/>
          <w:bCs/>
          <w:noProof/>
          <w:szCs w:val="22"/>
          <w:lang w:val="en-IE" w:eastAsia="en-US"/>
        </w:rPr>
        <w:t xml:space="preserve"> </w:t>
      </w:r>
      <w:r w:rsidRPr="00933ED2">
        <w:rPr>
          <w:rFonts w:eastAsiaTheme="minorHAnsi"/>
          <w:noProof/>
          <w:szCs w:val="22"/>
          <w:lang w:val="en-IE" w:eastAsia="en-US"/>
        </w:rPr>
        <w:t>As regards the respect of payment deadlines, on 31 December 2025 there were 3 cases in total awaiting confirmation of payments (compared to one in 2024)</w:t>
      </w:r>
      <w:r w:rsidRPr="00933ED2">
        <w:rPr>
          <w:rFonts w:eastAsiaTheme="minorHAnsi"/>
          <w:noProof/>
          <w:szCs w:val="22"/>
          <w:vertAlign w:val="superscript"/>
          <w:lang w:val="en-US" w:eastAsia="en-US"/>
        </w:rPr>
        <w:footnoteReference w:id="195"/>
      </w:r>
      <w:r w:rsidRPr="00933ED2">
        <w:rPr>
          <w:rFonts w:eastAsiaTheme="minorHAnsi"/>
          <w:noProof/>
          <w:szCs w:val="22"/>
          <w:lang w:val="en-IE" w:eastAsia="en-US"/>
        </w:rPr>
        <w:t>.</w:t>
      </w:r>
      <w:r w:rsidRPr="00933ED2">
        <w:rPr>
          <w:rFonts w:eastAsiaTheme="minorHAnsi"/>
          <w:b/>
          <w:bCs/>
          <w:noProof/>
          <w:szCs w:val="22"/>
          <w:lang w:val="en-IE" w:eastAsia="en-US"/>
        </w:rPr>
        <w:t xml:space="preserve"> </w:t>
      </w:r>
      <w:r w:rsidRPr="00933ED2">
        <w:rPr>
          <w:rFonts w:eastAsiaTheme="minorHAnsi"/>
          <w:noProof/>
          <w:szCs w:val="22"/>
          <w:lang w:val="en-IE" w:eastAsia="en-US"/>
        </w:rPr>
        <w:t xml:space="preserve">By </w:t>
      </w:r>
      <w:r w:rsidR="00FF5382">
        <w:rPr>
          <w:rFonts w:eastAsiaTheme="minorHAnsi"/>
          <w:noProof/>
          <w:szCs w:val="22"/>
          <w:lang w:val="en-IE" w:eastAsia="en-US"/>
        </w:rPr>
        <w:t>17</w:t>
      </w:r>
      <w:r w:rsidR="00FF5382" w:rsidRPr="00933ED2">
        <w:rPr>
          <w:rFonts w:eastAsiaTheme="minorHAnsi"/>
          <w:noProof/>
          <w:szCs w:val="22"/>
          <w:lang w:val="en-IE" w:eastAsia="en-US"/>
        </w:rPr>
        <w:t xml:space="preserve"> </w:t>
      </w:r>
      <w:r w:rsidRPr="00933ED2">
        <w:rPr>
          <w:rFonts w:eastAsiaTheme="minorHAnsi"/>
          <w:noProof/>
          <w:szCs w:val="22"/>
          <w:lang w:val="en-IE" w:eastAsia="en-US"/>
        </w:rPr>
        <w:t xml:space="preserve">June 2026, the number of leading judgments pending implementation had increased to </w:t>
      </w:r>
      <w:r w:rsidR="00FF5382">
        <w:rPr>
          <w:rFonts w:eastAsiaTheme="minorHAnsi"/>
          <w:noProof/>
          <w:szCs w:val="22"/>
          <w:lang w:val="en-IE" w:eastAsia="en-US"/>
        </w:rPr>
        <w:t>22</w:t>
      </w:r>
      <w:r w:rsidRPr="00933ED2">
        <w:rPr>
          <w:rFonts w:eastAsiaTheme="minorHAnsi"/>
          <w:noProof/>
          <w:szCs w:val="22"/>
          <w:vertAlign w:val="superscript"/>
          <w:lang w:val="en-US" w:eastAsia="en-US"/>
        </w:rPr>
        <w:footnoteReference w:id="196"/>
      </w:r>
      <w:r w:rsidRPr="00933ED2">
        <w:rPr>
          <w:rFonts w:eastAsiaTheme="minorHAnsi"/>
          <w:noProof/>
          <w:szCs w:val="22"/>
          <w:lang w:val="en-IE" w:eastAsia="en-US"/>
        </w:rPr>
        <w:t>.</w:t>
      </w:r>
      <w:r w:rsidRPr="00933ED2">
        <w:rPr>
          <w:rFonts w:eastAsiaTheme="minorHAnsi"/>
          <w:b/>
          <w:bCs/>
          <w:noProof/>
          <w:szCs w:val="22"/>
          <w:lang w:val="en-IE" w:eastAsia="en-US"/>
        </w:rPr>
        <w:t xml:space="preserve"> </w:t>
      </w:r>
    </w:p>
    <w:p w14:paraId="3F231E81" w14:textId="77777777" w:rsidR="00933ED2" w:rsidRPr="00933ED2" w:rsidRDefault="00933ED2" w:rsidP="00933ED2">
      <w:pPr>
        <w:rPr>
          <w:noProof/>
          <w:szCs w:val="22"/>
          <w:lang w:val="en-IE" w:eastAsia="fr-FR"/>
        </w:rPr>
      </w:pPr>
      <w:r w:rsidRPr="00933ED2">
        <w:rPr>
          <w:b/>
          <w:bCs/>
          <w:noProof/>
          <w:szCs w:val="22"/>
          <w:lang w:eastAsia="fr-FR"/>
        </w:rPr>
        <w:t>Various initiatives aimed at increasing public participation in policymaking and fostering a rule of law culture continued.</w:t>
      </w:r>
      <w:r w:rsidRPr="00933ED2">
        <w:rPr>
          <w:noProof/>
          <w:szCs w:val="22"/>
          <w:lang w:eastAsia="fr-FR"/>
        </w:rPr>
        <w:t xml:space="preserve"> </w:t>
      </w:r>
      <w:r w:rsidRPr="00933ED2">
        <w:rPr>
          <w:noProof/>
          <w:szCs w:val="22"/>
          <w:lang w:val="en-IE" w:eastAsia="fr-FR"/>
        </w:rPr>
        <w:t>Stakeholder consultation in policy making is a common practice and a centralised online platform is provided for participation and access to planning and transparency</w:t>
      </w:r>
      <w:r w:rsidRPr="00933ED2">
        <w:rPr>
          <w:noProof/>
          <w:szCs w:val="22"/>
          <w:vertAlign w:val="superscript"/>
          <w:lang w:val="en-IE" w:eastAsia="fr-FR"/>
        </w:rPr>
        <w:footnoteReference w:id="197"/>
      </w:r>
      <w:r w:rsidRPr="00933ED2">
        <w:rPr>
          <w:noProof/>
          <w:szCs w:val="22"/>
          <w:lang w:val="en-IE" w:eastAsia="fr-FR"/>
        </w:rPr>
        <w:t>, although s</w:t>
      </w:r>
      <w:r w:rsidRPr="00933ED2">
        <w:rPr>
          <w:rFonts w:eastAsia="Calibri"/>
          <w:noProof/>
          <w:szCs w:val="22"/>
          <w:lang w:eastAsia="en-US"/>
        </w:rPr>
        <w:t>ome stakeholders consider that meaningful participation in legislative consultations is limited</w:t>
      </w:r>
      <w:r w:rsidRPr="00933ED2">
        <w:rPr>
          <w:rFonts w:eastAsia="Calibri"/>
          <w:noProof/>
          <w:szCs w:val="22"/>
          <w:vertAlign w:val="superscript"/>
          <w:lang w:eastAsia="en-US"/>
        </w:rPr>
        <w:footnoteReference w:id="198"/>
      </w:r>
      <w:r w:rsidRPr="00933ED2">
        <w:rPr>
          <w:rFonts w:eastAsia="Calibri"/>
          <w:noProof/>
          <w:szCs w:val="22"/>
          <w:lang w:eastAsia="en-US"/>
        </w:rPr>
        <w:t xml:space="preserve">. The </w:t>
      </w:r>
      <w:r w:rsidRPr="00933ED2">
        <w:rPr>
          <w:noProof/>
          <w:szCs w:val="22"/>
          <w:lang w:val="en-US" w:eastAsia="fr-FR"/>
        </w:rPr>
        <w:t>Ombudsperson</w:t>
      </w:r>
      <w:r w:rsidRPr="00933ED2">
        <w:rPr>
          <w:noProof/>
          <w:szCs w:val="22"/>
          <w:vertAlign w:val="superscript"/>
          <w:lang w:val="en-IE" w:eastAsia="fr-FR"/>
        </w:rPr>
        <w:footnoteReference w:id="199"/>
      </w:r>
      <w:r w:rsidRPr="00933ED2">
        <w:rPr>
          <w:noProof/>
          <w:szCs w:val="22"/>
          <w:lang w:val="en-US" w:eastAsia="fr-FR"/>
        </w:rPr>
        <w:t>, which is also the national human rights institution, accredited with A status by the UN Global Alliance of National Human Rights Institutions (GANHRI), continued to fulfil a key role in the system of checks and balances, and assumed additional tasks with regard to compensation of victims in certain specific cases when a judicial action is not feasible for procedural reasons</w:t>
      </w:r>
      <w:r w:rsidRPr="00933ED2">
        <w:rPr>
          <w:noProof/>
          <w:szCs w:val="22"/>
          <w:vertAlign w:val="superscript"/>
          <w:lang w:val="en-IE" w:eastAsia="fr-FR"/>
        </w:rPr>
        <w:footnoteReference w:id="200"/>
      </w:r>
      <w:r w:rsidRPr="00933ED2">
        <w:rPr>
          <w:noProof/>
          <w:szCs w:val="22"/>
          <w:lang w:val="en-IE" w:eastAsia="fr-FR"/>
        </w:rPr>
        <w:t xml:space="preserve">. Initiatives aimed at fostering a rule of law culture </w:t>
      </w:r>
      <w:r w:rsidRPr="00933ED2">
        <w:rPr>
          <w:noProof/>
          <w:szCs w:val="22"/>
          <w:lang w:eastAsia="fr-FR"/>
        </w:rPr>
        <w:t>include the VI Congress of the World Conference on Constitutional Justice, hosted in Madrid in October 2025, and the official commemoration of the 75</w:t>
      </w:r>
      <w:r w:rsidRPr="00933ED2">
        <w:rPr>
          <w:noProof/>
          <w:szCs w:val="22"/>
          <w:vertAlign w:val="superscript"/>
          <w:lang w:eastAsia="fr-FR"/>
        </w:rPr>
        <w:t>th</w:t>
      </w:r>
      <w:r w:rsidRPr="00933ED2">
        <w:rPr>
          <w:noProof/>
          <w:szCs w:val="22"/>
          <w:lang w:eastAsia="fr-FR"/>
        </w:rPr>
        <w:t xml:space="preserve"> anniversary of the European Convention on Human Rights by the Spanish Government on 5 November 2025</w:t>
      </w:r>
      <w:r w:rsidRPr="00933ED2">
        <w:rPr>
          <w:noProof/>
          <w:szCs w:val="22"/>
          <w:vertAlign w:val="superscript"/>
          <w:lang w:val="en-IE" w:eastAsia="fr-FR"/>
        </w:rPr>
        <w:footnoteReference w:id="201"/>
      </w:r>
      <w:r w:rsidRPr="00933ED2">
        <w:rPr>
          <w:noProof/>
          <w:szCs w:val="22"/>
          <w:lang w:val="en-IE" w:eastAsia="fr-FR"/>
        </w:rPr>
        <w:t xml:space="preserve">. </w:t>
      </w:r>
    </w:p>
    <w:p w14:paraId="41562184" w14:textId="77777777" w:rsidR="00933ED2" w:rsidRPr="00933ED2" w:rsidRDefault="00933ED2" w:rsidP="00933ED2">
      <w:pPr>
        <w:rPr>
          <w:rFonts w:eastAsiaTheme="minorHAnsi" w:cstheme="minorBidi"/>
          <w:noProof/>
          <w:szCs w:val="22"/>
          <w:lang w:val="en-IE" w:eastAsia="en-US"/>
        </w:rPr>
      </w:pPr>
      <w:r w:rsidRPr="00933ED2">
        <w:rPr>
          <w:rFonts w:eastAsia="Calibri"/>
          <w:b/>
          <w:bCs/>
          <w:noProof/>
          <w:szCs w:val="22"/>
          <w:lang w:eastAsia="en-US"/>
        </w:rPr>
        <w:t>The draft law to reform the Citizen Security Law to address concerns raised by stakeholders remains pending in Parliament</w:t>
      </w:r>
      <w:r w:rsidRPr="00933ED2">
        <w:rPr>
          <w:rFonts w:eastAsia="Calibri"/>
          <w:noProof/>
          <w:szCs w:val="22"/>
          <w:lang w:eastAsia="en-US"/>
        </w:rPr>
        <w:t>. Civil society space continues to be rated as “narrowed” by Civicus</w:t>
      </w:r>
      <w:r w:rsidRPr="00933ED2">
        <w:rPr>
          <w:rFonts w:eastAsia="Calibri"/>
          <w:noProof/>
          <w:szCs w:val="22"/>
          <w:vertAlign w:val="superscript"/>
          <w:lang w:eastAsia="en-US"/>
        </w:rPr>
        <w:footnoteReference w:id="202"/>
      </w:r>
      <w:r w:rsidRPr="00933ED2">
        <w:rPr>
          <w:rFonts w:eastAsia="Calibri"/>
          <w:noProof/>
          <w:szCs w:val="22"/>
          <w:lang w:eastAsia="en-US"/>
        </w:rPr>
        <w:t>, while the Spanish Ombudsperson notes that the human rights situation and civil society environment can be considered open</w:t>
      </w:r>
      <w:r w:rsidRPr="00933ED2">
        <w:rPr>
          <w:rFonts w:eastAsia="Calibri"/>
          <w:noProof/>
          <w:szCs w:val="22"/>
          <w:vertAlign w:val="superscript"/>
          <w:lang w:eastAsia="en-US"/>
        </w:rPr>
        <w:footnoteReference w:id="203"/>
      </w:r>
      <w:r w:rsidRPr="00933ED2">
        <w:rPr>
          <w:rFonts w:eastAsia="Calibri"/>
          <w:noProof/>
          <w:szCs w:val="22"/>
          <w:lang w:eastAsia="en-US"/>
        </w:rPr>
        <w:t xml:space="preserve">. </w:t>
      </w:r>
      <w:r w:rsidRPr="00933ED2">
        <w:rPr>
          <w:rFonts w:eastAsiaTheme="minorHAnsi" w:cstheme="minorBidi"/>
          <w:noProof/>
          <w:szCs w:val="22"/>
          <w:lang w:val="en-IE" w:eastAsia="en-US"/>
        </w:rPr>
        <w:t>The draft law was tabled in October 2024 with the aim to respond to the concerns voiced by stakeholders about the current law’s impact on the rights of assembly and freedom of expression, as well as its effects on the civic space and the activities of human rights defenders and journalists</w:t>
      </w:r>
      <w:r w:rsidRPr="00933ED2">
        <w:rPr>
          <w:rFonts w:eastAsiaTheme="minorHAnsi" w:cstheme="minorBidi"/>
          <w:noProof/>
          <w:szCs w:val="22"/>
          <w:vertAlign w:val="superscript"/>
          <w:lang w:val="en-IE" w:eastAsia="en-US"/>
        </w:rPr>
        <w:footnoteReference w:id="204"/>
      </w:r>
      <w:r w:rsidRPr="00933ED2">
        <w:rPr>
          <w:rFonts w:eastAsiaTheme="minorHAnsi" w:cstheme="minorBidi"/>
          <w:noProof/>
          <w:szCs w:val="22"/>
          <w:lang w:val="en-IE" w:eastAsia="en-US"/>
        </w:rPr>
        <w:t xml:space="preserve">. </w:t>
      </w:r>
    </w:p>
    <w:p w14:paraId="205098F3" w14:textId="77777777" w:rsidR="00933ED2" w:rsidRPr="00933ED2" w:rsidRDefault="00933ED2" w:rsidP="00933ED2">
      <w:pPr>
        <w:pageBreakBefore/>
        <w:spacing w:after="120" w:line="264" w:lineRule="auto"/>
        <w:rPr>
          <w:b/>
          <w:noProof/>
          <w:szCs w:val="22"/>
          <w:lang w:eastAsia="en-GB"/>
        </w:rPr>
      </w:pPr>
      <w:r w:rsidRPr="00933ED2">
        <w:rPr>
          <w:b/>
          <w:noProof/>
          <w:szCs w:val="22"/>
          <w:lang w:eastAsia="en-GB"/>
        </w:rPr>
        <w:t>Annex I: List of sources in alphabetical order*</w:t>
      </w:r>
    </w:p>
    <w:p w14:paraId="4F086D81" w14:textId="64A574BA" w:rsidR="00933ED2" w:rsidRPr="00933ED2" w:rsidRDefault="00933ED2" w:rsidP="00933ED2">
      <w:pPr>
        <w:spacing w:after="120"/>
        <w:rPr>
          <w:i/>
          <w:noProof/>
          <w:sz w:val="22"/>
          <w:szCs w:val="22"/>
          <w:lang w:eastAsia="en-GB"/>
        </w:rPr>
      </w:pPr>
      <w:r w:rsidRPr="00933ED2">
        <w:rPr>
          <w:i/>
          <w:noProof/>
          <w:sz w:val="22"/>
          <w:szCs w:val="22"/>
          <w:lang w:eastAsia="en-GB"/>
        </w:rPr>
        <w:t xml:space="preserve">* The list of contributions received in the context of the consultation for the 2026 Rule of Law Report can be found at </w:t>
      </w:r>
      <w:hyperlink r:id="rId22" w:history="1">
        <w:r w:rsidR="00F61FAB" w:rsidRPr="00F61FAB">
          <w:rPr>
            <w:rStyle w:val="Hyperlink"/>
            <w:i/>
            <w:noProof/>
            <w:sz w:val="22"/>
            <w:szCs w:val="22"/>
            <w:lang w:val="en-US" w:eastAsia="en-GB"/>
          </w:rPr>
          <w:t>https://commission.europa.eu/publications/2026-rule-law-report-targeted-stakeholder-consultation_en</w:t>
        </w:r>
      </w:hyperlink>
      <w:r w:rsidRPr="00933ED2">
        <w:rPr>
          <w:i/>
          <w:noProof/>
          <w:sz w:val="22"/>
          <w:szCs w:val="22"/>
          <w:lang w:eastAsia="en-GB"/>
        </w:rPr>
        <w:t>.</w:t>
      </w:r>
    </w:p>
    <w:p w14:paraId="115DD5CB" w14:textId="77777777" w:rsidR="00933ED2" w:rsidRPr="00933ED2" w:rsidRDefault="00933ED2" w:rsidP="00933ED2">
      <w:pPr>
        <w:spacing w:after="120"/>
        <w:rPr>
          <w:noProof/>
          <w:sz w:val="22"/>
          <w:szCs w:val="22"/>
          <w:lang w:eastAsia="en-GB"/>
        </w:rPr>
      </w:pPr>
    </w:p>
    <w:p w14:paraId="57DF7DC0" w14:textId="77777777" w:rsidR="00933ED2" w:rsidRPr="00933ED2" w:rsidRDefault="00933ED2" w:rsidP="00933ED2">
      <w:pPr>
        <w:spacing w:after="120"/>
        <w:rPr>
          <w:i/>
          <w:iCs/>
          <w:noProof/>
          <w:sz w:val="22"/>
          <w:szCs w:val="22"/>
          <w:lang w:val="es-ES" w:eastAsia="en-GB"/>
        </w:rPr>
      </w:pPr>
      <w:r w:rsidRPr="00933ED2">
        <w:rPr>
          <w:noProof/>
          <w:sz w:val="22"/>
          <w:szCs w:val="22"/>
          <w:lang w:val="es-ES" w:eastAsia="en-GB"/>
        </w:rPr>
        <w:t xml:space="preserve">Asociación Impulso Ciudadano (2026), </w:t>
      </w:r>
      <w:r w:rsidRPr="00933ED2">
        <w:rPr>
          <w:i/>
          <w:iCs/>
          <w:noProof/>
          <w:sz w:val="22"/>
          <w:szCs w:val="22"/>
          <w:lang w:val="es-ES" w:eastAsia="en-GB"/>
        </w:rPr>
        <w:t>Input from Asociación Impulso Ciudadano for the 2026 Rule of Law Report.</w:t>
      </w:r>
    </w:p>
    <w:p w14:paraId="33E800A6" w14:textId="77777777"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Association of Prosecutors (2026), </w:t>
      </w:r>
      <w:r w:rsidRPr="00933ED2">
        <w:rPr>
          <w:i/>
          <w:iCs/>
          <w:noProof/>
          <w:sz w:val="22"/>
          <w:szCs w:val="22"/>
          <w:lang w:val="en-US" w:eastAsia="en-GB"/>
        </w:rPr>
        <w:t>Input from Association of Prosecutors for the 2026 Rule of Law Repor</w:t>
      </w:r>
      <w:r w:rsidRPr="00933ED2">
        <w:rPr>
          <w:noProof/>
          <w:sz w:val="22"/>
          <w:szCs w:val="22"/>
          <w:lang w:val="en-US" w:eastAsia="en-GB"/>
        </w:rPr>
        <w:t>t.</w:t>
      </w:r>
    </w:p>
    <w:p w14:paraId="666DA83C" w14:textId="77777777" w:rsidR="00933ED2" w:rsidRPr="00933ED2" w:rsidRDefault="00933ED2" w:rsidP="00933ED2">
      <w:pPr>
        <w:spacing w:after="120"/>
        <w:rPr>
          <w:i/>
          <w:noProof/>
          <w:sz w:val="22"/>
          <w:szCs w:val="22"/>
          <w:lang w:val="en-US" w:eastAsia="en-GB"/>
        </w:rPr>
      </w:pPr>
      <w:r w:rsidRPr="00933ED2">
        <w:rPr>
          <w:noProof/>
          <w:sz w:val="22"/>
          <w:szCs w:val="22"/>
          <w:lang w:val="en-US" w:eastAsia="en-GB"/>
        </w:rPr>
        <w:t xml:space="preserve">CCOO (2026), </w:t>
      </w:r>
      <w:r w:rsidRPr="00933ED2">
        <w:rPr>
          <w:iCs/>
          <w:noProof/>
          <w:sz w:val="22"/>
          <w:szCs w:val="22"/>
          <w:lang w:val="en-US" w:eastAsia="en-GB"/>
        </w:rPr>
        <w:t>The challenges of the Rule of Law in resolving conflicts between employers and workers</w:t>
      </w:r>
      <w:r w:rsidRPr="00933ED2">
        <w:rPr>
          <w:i/>
          <w:noProof/>
          <w:sz w:val="22"/>
          <w:szCs w:val="22"/>
          <w:lang w:val="en-US" w:eastAsia="en-GB"/>
        </w:rPr>
        <w:t xml:space="preserve"> </w:t>
      </w:r>
      <w:r w:rsidRPr="00933ED2">
        <w:rPr>
          <w:iCs/>
          <w:noProof/>
          <w:sz w:val="22"/>
          <w:szCs w:val="22"/>
          <w:lang w:val="en-US" w:eastAsia="en-GB"/>
        </w:rPr>
        <w:t>(</w:t>
      </w:r>
      <w:r w:rsidRPr="00933ED2">
        <w:rPr>
          <w:i/>
          <w:noProof/>
          <w:sz w:val="22"/>
          <w:szCs w:val="22"/>
          <w:lang w:val="en-US" w:eastAsia="en-GB"/>
        </w:rPr>
        <w:t>Los retos del Estado de Derecho en la resolución de conflictos entre empleadores y trabajadores</w:t>
      </w:r>
      <w:r w:rsidRPr="00933ED2">
        <w:rPr>
          <w:iCs/>
          <w:noProof/>
          <w:sz w:val="22"/>
          <w:szCs w:val="22"/>
          <w:lang w:val="en-US" w:eastAsia="en-GB"/>
        </w:rPr>
        <w:t>)</w:t>
      </w:r>
      <w:r w:rsidRPr="00933ED2">
        <w:rPr>
          <w:i/>
          <w:noProof/>
          <w:sz w:val="22"/>
          <w:szCs w:val="22"/>
          <w:lang w:val="en-US" w:eastAsia="en-GB"/>
        </w:rPr>
        <w:t xml:space="preserve">, </w:t>
      </w:r>
      <w:r w:rsidRPr="00933ED2">
        <w:rPr>
          <w:iCs/>
          <w:noProof/>
          <w:sz w:val="22"/>
          <w:szCs w:val="22"/>
          <w:lang w:val="en-US" w:eastAsia="en-GB"/>
        </w:rPr>
        <w:t>25 February 2026.</w:t>
      </w:r>
    </w:p>
    <w:p w14:paraId="17DBEE06" w14:textId="77777777" w:rsidR="00933ED2" w:rsidRPr="00933ED2" w:rsidRDefault="00933ED2" w:rsidP="00933ED2">
      <w:pPr>
        <w:spacing w:after="120"/>
        <w:rPr>
          <w:i/>
          <w:iCs/>
          <w:noProof/>
          <w:sz w:val="22"/>
          <w:szCs w:val="22"/>
          <w:lang w:val="en-US" w:eastAsia="en-GB"/>
        </w:rPr>
      </w:pPr>
      <w:r w:rsidRPr="00933ED2">
        <w:rPr>
          <w:noProof/>
          <w:sz w:val="22"/>
          <w:szCs w:val="22"/>
          <w:lang w:val="en-US" w:eastAsia="en-GB"/>
        </w:rPr>
        <w:t xml:space="preserve">Civic Platform for the Judicial Independence (2026), </w:t>
      </w:r>
      <w:r w:rsidRPr="00933ED2">
        <w:rPr>
          <w:i/>
          <w:iCs/>
          <w:noProof/>
          <w:sz w:val="22"/>
          <w:szCs w:val="22"/>
          <w:lang w:val="en-US" w:eastAsia="en-GB"/>
        </w:rPr>
        <w:t>Input from Civic Platform for the Judicial Independence for the 2026 Rule of Law Report.</w:t>
      </w:r>
    </w:p>
    <w:p w14:paraId="6B47290E" w14:textId="72262E9B" w:rsidR="00933ED2" w:rsidRPr="00933ED2" w:rsidRDefault="00933ED2" w:rsidP="00933ED2">
      <w:pPr>
        <w:spacing w:after="120"/>
        <w:rPr>
          <w:rFonts w:eastAsiaTheme="minorHAnsi"/>
          <w:noProof/>
          <w:sz w:val="22"/>
          <w:szCs w:val="22"/>
          <w:lang w:val="en-US" w:eastAsia="en-US"/>
        </w:rPr>
      </w:pPr>
      <w:r w:rsidRPr="00933ED2">
        <w:rPr>
          <w:noProof/>
          <w:sz w:val="22"/>
          <w:szCs w:val="22"/>
          <w:lang w:val="en-IE" w:eastAsia="en-GB"/>
        </w:rPr>
        <w:t xml:space="preserve">Civil Liberties Union for Europe (2026), </w:t>
      </w:r>
      <w:r w:rsidRPr="00933ED2">
        <w:rPr>
          <w:i/>
          <w:iCs/>
          <w:noProof/>
          <w:sz w:val="22"/>
          <w:szCs w:val="22"/>
          <w:lang w:val="en-IE" w:eastAsia="en-GB"/>
        </w:rPr>
        <w:t>Liberties Rule of Law Report</w:t>
      </w:r>
      <w:r w:rsidRPr="00933ED2">
        <w:rPr>
          <w:noProof/>
          <w:sz w:val="22"/>
          <w:szCs w:val="22"/>
          <w:lang w:val="en-IE" w:eastAsia="en-GB"/>
        </w:rPr>
        <w:t xml:space="preserve">, 24 March 2026, </w:t>
      </w:r>
      <w:hyperlink r:id="rId23" w:history="1">
        <w:r w:rsidRPr="00933ED2">
          <w:rPr>
            <w:noProof/>
            <w:color w:val="0563C1" w:themeColor="hyperlink"/>
            <w:sz w:val="22"/>
            <w:szCs w:val="22"/>
            <w:u w:val="single"/>
            <w:lang w:val="en-IE" w:eastAsia="en-GB"/>
          </w:rPr>
          <w:t>https://www.liberties.eu/f/wtaqoq</w:t>
        </w:r>
      </w:hyperlink>
      <w:r w:rsidR="00F046AC">
        <w:rPr>
          <w:noProof/>
        </w:rPr>
        <w:t>.</w:t>
      </w:r>
    </w:p>
    <w:p w14:paraId="23FEE5DD" w14:textId="53E5F979" w:rsidR="00933ED2" w:rsidRPr="00933ED2" w:rsidRDefault="00933ED2" w:rsidP="00933ED2">
      <w:pPr>
        <w:spacing w:after="120"/>
        <w:rPr>
          <w:noProof/>
          <w:sz w:val="22"/>
          <w:szCs w:val="22"/>
          <w:lang w:val="en-IE" w:eastAsia="en-GB"/>
        </w:rPr>
      </w:pPr>
      <w:r w:rsidRPr="00933ED2">
        <w:rPr>
          <w:rFonts w:eastAsiaTheme="minorHAnsi"/>
          <w:noProof/>
          <w:sz w:val="22"/>
          <w:szCs w:val="22"/>
          <w:lang w:val="en-IE" w:eastAsia="en-US"/>
        </w:rPr>
        <w:t xml:space="preserve">Congress (2024), </w:t>
      </w:r>
      <w:r w:rsidRPr="00933ED2">
        <w:rPr>
          <w:noProof/>
          <w:sz w:val="22"/>
          <w:szCs w:val="22"/>
          <w:lang w:val="en-US" w:eastAsia="en-GB"/>
        </w:rPr>
        <w:t>Proposal for an Organic Law on the Protection of Freedoms and Citizen Security (</w:t>
      </w:r>
      <w:r w:rsidRPr="00933ED2">
        <w:rPr>
          <w:i/>
          <w:iCs/>
          <w:noProof/>
          <w:sz w:val="22"/>
          <w:szCs w:val="22"/>
          <w:lang w:val="en-US" w:eastAsia="en-GB"/>
        </w:rPr>
        <w:t>Proposición de Ley Orgánica de protección de las libertades y seguridad ciudadana</w:t>
      </w:r>
      <w:r w:rsidRPr="00933ED2">
        <w:rPr>
          <w:noProof/>
          <w:sz w:val="22"/>
          <w:szCs w:val="22"/>
          <w:lang w:val="en-US" w:eastAsia="en-GB"/>
        </w:rPr>
        <w:t xml:space="preserve">) </w:t>
      </w:r>
      <w:r w:rsidRPr="00933ED2">
        <w:rPr>
          <w:noProof/>
          <w:sz w:val="22"/>
          <w:szCs w:val="22"/>
          <w:lang w:val="en-IE" w:eastAsia="en-GB"/>
        </w:rPr>
        <w:t xml:space="preserve">(122/000131), 4 Otober 2024, </w:t>
      </w:r>
      <w:hyperlink r:id="rId24" w:history="1">
        <w:r w:rsidRPr="00933ED2">
          <w:rPr>
            <w:noProof/>
            <w:color w:val="0563C1" w:themeColor="hyperlink"/>
            <w:sz w:val="22"/>
            <w:szCs w:val="22"/>
            <w:u w:val="single"/>
            <w:lang w:val="en-IE" w:eastAsia="en-GB"/>
          </w:rPr>
          <w:t>https://www.congreso.es/es/busqueda-de-iniciativas?p_p_id=iniciativas&amp;p_p_lifecycle=0&amp;p_p_state=normal&amp;p_p_mode=view&amp;_iniciativas_mode=mostrarDetalle&amp;_iniciativas_legislatura=XV&amp;_iniciativas_id=122/000131</w:t>
        </w:r>
      </w:hyperlink>
      <w:r w:rsidR="00F046AC">
        <w:rPr>
          <w:noProof/>
        </w:rPr>
        <w:t>.</w:t>
      </w:r>
    </w:p>
    <w:p w14:paraId="04C518CB" w14:textId="572A9E76" w:rsidR="00933ED2" w:rsidRPr="00933ED2" w:rsidRDefault="00933ED2" w:rsidP="00933ED2">
      <w:pPr>
        <w:spacing w:after="120"/>
        <w:rPr>
          <w:noProof/>
          <w:sz w:val="22"/>
          <w:szCs w:val="22"/>
          <w:lang w:val="es-ES" w:eastAsia="en-GB"/>
        </w:rPr>
      </w:pPr>
      <w:r w:rsidRPr="00933ED2">
        <w:rPr>
          <w:noProof/>
          <w:sz w:val="22"/>
          <w:szCs w:val="22"/>
          <w:lang w:val="es-ES" w:eastAsia="en-GB"/>
        </w:rPr>
        <w:t>Congress (2025), Proposal for an Organic Law amending Organic Law 6/1985 of 1 July on the Judiciary and Law 50/1981 of 30 December regulating the Organic Statute of the Public Prosecution Service, to expand and strengthen the judicial and prosecutorial careers (</w:t>
      </w:r>
      <w:r w:rsidRPr="00933ED2">
        <w:rPr>
          <w:i/>
          <w:iCs/>
          <w:noProof/>
          <w:sz w:val="22"/>
          <w:szCs w:val="22"/>
          <w:lang w:val="es-ES" w:eastAsia="en-GB"/>
        </w:rPr>
        <w:t>Proyecto de Ley Orgánica por la que se modifica la Ley Orgánica 6/1985, de 1 de julio, del Poder Judicial, y la Ley 50/1981, de 30 de diciembre, por la que se regula el Estatuto Orgánico del Ministerio Fiscal, para la ampliación y fortalecimiento de las carreras judicial y fiscal</w:t>
      </w:r>
      <w:r w:rsidRPr="00933ED2">
        <w:rPr>
          <w:noProof/>
          <w:sz w:val="22"/>
          <w:szCs w:val="22"/>
          <w:lang w:val="es-ES" w:eastAsia="en-GB"/>
        </w:rPr>
        <w:t xml:space="preserve">) (121/000059), 16 May 2025, </w:t>
      </w:r>
      <w:hyperlink r:id="rId25" w:history="1">
        <w:r w:rsidRPr="00933ED2">
          <w:rPr>
            <w:noProof/>
            <w:color w:val="0563C1" w:themeColor="hyperlink"/>
            <w:sz w:val="22"/>
            <w:szCs w:val="22"/>
            <w:u w:val="single"/>
            <w:lang w:val="es-ES" w:eastAsia="en-GB"/>
          </w:rPr>
          <w:t>https://www.congreso.es/es/busqueda-de-iniciativas?p_p_id=iniciativas&amp;p_p_lifecycle=0&amp;p_p_state=normal&amp;p_p_mode=view&amp;_iniciativas_mode=mostrarDetalle&amp;_iniciativas_legislatura=XV&amp;_iniciativas_id=121/000059</w:t>
        </w:r>
      </w:hyperlink>
      <w:r w:rsidR="00F046AC" w:rsidRPr="00CF369C">
        <w:rPr>
          <w:noProof/>
          <w:lang w:val="es-ES"/>
        </w:rPr>
        <w:t>.</w:t>
      </w:r>
    </w:p>
    <w:p w14:paraId="1854DE7E" w14:textId="79171E42" w:rsidR="00933ED2" w:rsidRPr="00933ED2" w:rsidRDefault="00933ED2" w:rsidP="00933ED2">
      <w:pPr>
        <w:spacing w:after="120"/>
        <w:rPr>
          <w:noProof/>
          <w:sz w:val="22"/>
          <w:szCs w:val="22"/>
          <w:lang w:val="es-ES" w:eastAsia="en-GB"/>
        </w:rPr>
      </w:pPr>
      <w:r w:rsidRPr="00933ED2">
        <w:rPr>
          <w:noProof/>
          <w:sz w:val="22"/>
          <w:szCs w:val="22"/>
          <w:lang w:val="es-ES" w:eastAsia="en-GB"/>
        </w:rPr>
        <w:t>Congress (2025a), Proposal for an Organic Law amending Organic Law 6/1985, of 1 July, on the Judiciary, on the modification of the model of election of the members of the Council for the Judiciary (</w:t>
      </w:r>
      <w:r w:rsidRPr="00933ED2">
        <w:rPr>
          <w:i/>
          <w:iCs/>
          <w:noProof/>
          <w:sz w:val="22"/>
          <w:szCs w:val="22"/>
          <w:lang w:val="es-ES" w:eastAsia="en-GB"/>
        </w:rPr>
        <w:t>Proposición de Ley Orgánica de modificación de la Ley Orgánica 6/1985, de 1 de julio, del Poder Judicial, para el cambio del modelo de elección de los vocales del Consejo General del Poder Judicial</w:t>
      </w:r>
      <w:r w:rsidRPr="00933ED2">
        <w:rPr>
          <w:noProof/>
          <w:sz w:val="22"/>
          <w:szCs w:val="22"/>
          <w:lang w:val="es-ES" w:eastAsia="en-GB"/>
        </w:rPr>
        <w:t xml:space="preserve">) (122/000229), 24 October 2025, </w:t>
      </w:r>
      <w:hyperlink r:id="rId26" w:history="1">
        <w:r w:rsidRPr="00933ED2">
          <w:rPr>
            <w:noProof/>
            <w:color w:val="0563C1" w:themeColor="hyperlink"/>
            <w:sz w:val="22"/>
            <w:szCs w:val="22"/>
            <w:u w:val="single"/>
            <w:lang w:val="es-ES" w:eastAsia="en-GB"/>
          </w:rPr>
          <w:t>https://www.congreso.es/es/busqueda-de-iniciativas?p_p_id=iniciativas&amp;p_p_lifecycle=0&amp;p_p_state=normal&amp;p_p_mode=view&amp;_iniciativas_mode=mostrarDetalle&amp;_iniciativas_legislatura=XV&amp;_iniciativas_id=122/000229</w:t>
        </w:r>
      </w:hyperlink>
      <w:r w:rsidR="00F046AC">
        <w:rPr>
          <w:noProof/>
          <w:sz w:val="22"/>
          <w:szCs w:val="22"/>
          <w:lang w:val="es-ES" w:eastAsia="en-GB"/>
        </w:rPr>
        <w:t>.</w:t>
      </w:r>
    </w:p>
    <w:p w14:paraId="0AE84AD6" w14:textId="4F062BED" w:rsidR="00933ED2" w:rsidRPr="00933ED2" w:rsidRDefault="00933ED2" w:rsidP="00933ED2">
      <w:pPr>
        <w:spacing w:after="120"/>
        <w:rPr>
          <w:rFonts w:eastAsiaTheme="minorHAnsi"/>
          <w:noProof/>
          <w:sz w:val="22"/>
          <w:szCs w:val="22"/>
          <w:lang w:val="es-ES_tradnl" w:eastAsia="en-US"/>
        </w:rPr>
      </w:pPr>
      <w:r w:rsidRPr="00933ED2">
        <w:rPr>
          <w:noProof/>
          <w:sz w:val="22"/>
          <w:szCs w:val="22"/>
          <w:lang w:val="es-ES" w:eastAsia="en-GB"/>
        </w:rPr>
        <w:t>Congress (2025b), Draft law amending the Code of Criminal Procedure</w:t>
      </w:r>
      <w:r w:rsidRPr="00933ED2">
        <w:rPr>
          <w:i/>
          <w:iCs/>
          <w:noProof/>
          <w:sz w:val="22"/>
          <w:szCs w:val="22"/>
          <w:lang w:val="es-ES" w:eastAsia="en-GB"/>
        </w:rPr>
        <w:t xml:space="preserve"> </w:t>
      </w:r>
      <w:r w:rsidRPr="00933ED2">
        <w:rPr>
          <w:noProof/>
          <w:sz w:val="22"/>
          <w:szCs w:val="22"/>
          <w:lang w:val="es-ES" w:eastAsia="en-GB"/>
        </w:rPr>
        <w:t>(</w:t>
      </w:r>
      <w:r w:rsidRPr="00933ED2">
        <w:rPr>
          <w:i/>
          <w:iCs/>
          <w:noProof/>
          <w:sz w:val="22"/>
          <w:szCs w:val="22"/>
          <w:lang w:val="es-ES" w:eastAsia="en-GB"/>
        </w:rPr>
        <w:t>Proyecto de Ley Orgánica de Enjuiciamiento Criminal</w:t>
      </w:r>
      <w:r w:rsidRPr="00933ED2">
        <w:rPr>
          <w:noProof/>
          <w:sz w:val="22"/>
          <w:szCs w:val="22"/>
          <w:lang w:val="es-ES" w:eastAsia="en-GB"/>
        </w:rPr>
        <w:t xml:space="preserve">) (121/000074), 30 October 2025, </w:t>
      </w:r>
      <w:hyperlink r:id="rId27" w:history="1">
        <w:r w:rsidRPr="00933ED2">
          <w:rPr>
            <w:noProof/>
            <w:color w:val="0563C1" w:themeColor="hyperlink"/>
            <w:sz w:val="22"/>
            <w:szCs w:val="22"/>
            <w:u w:val="single"/>
            <w:lang w:val="es-ES" w:eastAsia="en-GB"/>
          </w:rPr>
          <w:t>https://www.congreso.es/es/busqueda-de-iniciativas?p_p_id=iniciativas&amp;p_p_lifecycle=0&amp;p_p_state=normal&amp;p_p_mode=view&amp;_iniciativas_mode=mostrarDetalle&amp;_iniciativas_legislatura=XV&amp;_iniciativas_id=121/000074</w:t>
        </w:r>
      </w:hyperlink>
      <w:r w:rsidR="00F046AC" w:rsidRPr="00CF369C">
        <w:rPr>
          <w:noProof/>
          <w:lang w:val="es-ES"/>
        </w:rPr>
        <w:t>.</w:t>
      </w:r>
    </w:p>
    <w:p w14:paraId="0C8BBD07" w14:textId="69BAC6DC" w:rsidR="00933ED2" w:rsidRPr="00933ED2" w:rsidRDefault="00933ED2" w:rsidP="00933ED2">
      <w:pPr>
        <w:spacing w:after="120"/>
        <w:rPr>
          <w:i/>
          <w:noProof/>
          <w:sz w:val="22"/>
          <w:szCs w:val="22"/>
          <w:lang w:val="en-IE" w:eastAsia="en-GB"/>
        </w:rPr>
      </w:pPr>
      <w:r w:rsidRPr="00933ED2">
        <w:rPr>
          <w:noProof/>
          <w:sz w:val="22"/>
          <w:szCs w:val="22"/>
          <w:lang w:val="en-IE" w:eastAsia="en-GB"/>
        </w:rPr>
        <w:t xml:space="preserve">Congress (2026), </w:t>
      </w:r>
      <w:r w:rsidR="00A16D93">
        <w:rPr>
          <w:i/>
          <w:noProof/>
          <w:sz w:val="22"/>
          <w:szCs w:val="22"/>
          <w:lang w:val="en-IE" w:eastAsia="en-GB"/>
        </w:rPr>
        <w:t>I</w:t>
      </w:r>
      <w:r w:rsidRPr="00933ED2">
        <w:rPr>
          <w:i/>
          <w:noProof/>
          <w:sz w:val="22"/>
          <w:szCs w:val="22"/>
          <w:lang w:val="en-IE" w:eastAsia="en-GB"/>
        </w:rPr>
        <w:t xml:space="preserve">nput </w:t>
      </w:r>
      <w:r w:rsidR="00A16D93">
        <w:rPr>
          <w:i/>
          <w:noProof/>
          <w:sz w:val="22"/>
          <w:szCs w:val="22"/>
          <w:lang w:val="en-IE" w:eastAsia="en-GB"/>
        </w:rPr>
        <w:t xml:space="preserve">from Congress </w:t>
      </w:r>
      <w:r w:rsidRPr="00933ED2">
        <w:rPr>
          <w:i/>
          <w:noProof/>
          <w:sz w:val="22"/>
          <w:szCs w:val="22"/>
          <w:lang w:val="en-IE" w:eastAsia="en-GB"/>
        </w:rPr>
        <w:t>for the 2026 Rule of Law Report.</w:t>
      </w:r>
    </w:p>
    <w:p w14:paraId="67DF5B61" w14:textId="3F7E598D" w:rsidR="00933ED2" w:rsidRPr="00933ED2" w:rsidRDefault="00933ED2" w:rsidP="00933ED2">
      <w:pPr>
        <w:spacing w:after="120"/>
        <w:rPr>
          <w:noProof/>
          <w:sz w:val="22"/>
          <w:szCs w:val="22"/>
          <w:lang w:val="en-IE" w:eastAsia="en-GB"/>
        </w:rPr>
      </w:pPr>
      <w:r w:rsidRPr="00933ED2">
        <w:rPr>
          <w:noProof/>
          <w:sz w:val="22"/>
          <w:szCs w:val="22"/>
          <w:lang w:val="en-IE" w:eastAsia="en-GB"/>
        </w:rPr>
        <w:t>Council for the Judiciary (2024), The Council for the Judiciary informs judicial associations about the ongoing actions to protect the occupational health and safety of the judiciary (</w:t>
      </w:r>
      <w:r w:rsidRPr="00933ED2">
        <w:rPr>
          <w:i/>
          <w:noProof/>
          <w:sz w:val="22"/>
          <w:szCs w:val="22"/>
          <w:lang w:val="en-IE" w:eastAsia="en-GB"/>
        </w:rPr>
        <w:t>El CGPJ informa a las asociaciones judiciales de las actuaciones en marcha para la protección de la salud laboral de la Carrera Judicial</w:t>
      </w:r>
      <w:r w:rsidRPr="00933ED2">
        <w:rPr>
          <w:noProof/>
          <w:sz w:val="22"/>
          <w:szCs w:val="22"/>
          <w:lang w:val="en-IE" w:eastAsia="en-GB"/>
        </w:rPr>
        <w:t xml:space="preserve">), 29 May 2024, </w:t>
      </w:r>
      <w:hyperlink r:id="rId28" w:history="1">
        <w:r w:rsidRPr="00933ED2">
          <w:rPr>
            <w:noProof/>
            <w:color w:val="0563C1" w:themeColor="hyperlink"/>
            <w:sz w:val="22"/>
            <w:szCs w:val="22"/>
            <w:u w:val="single"/>
            <w:lang w:val="en-IE" w:eastAsia="en-GB"/>
          </w:rPr>
          <w:t>https://www.poderjudicial.es/portal/site/cgpj/menuitem.65d2c4456b6ddb628e635fc1dc432ea0/?vgnextoid=3c2f6292b44cf810VgnVCM1000004648ac0aRCRD&amp;vgnextchannel=be4105063580d210VgnVCM100000cb34e20aRCRD&amp;vgnextfmt=default&amp;vgnextlocale=es&amp;lang_choosen=es</w:t>
        </w:r>
      </w:hyperlink>
      <w:r w:rsidR="00F046AC">
        <w:rPr>
          <w:noProof/>
        </w:rPr>
        <w:t>.</w:t>
      </w:r>
      <w:r w:rsidRPr="00933ED2">
        <w:rPr>
          <w:noProof/>
          <w:sz w:val="22"/>
          <w:szCs w:val="22"/>
          <w:lang w:val="en-IE" w:eastAsia="en-GB"/>
        </w:rPr>
        <w:t xml:space="preserve"> </w:t>
      </w:r>
    </w:p>
    <w:p w14:paraId="7EC18E06" w14:textId="3D6CCDB0" w:rsidR="00933ED2" w:rsidRPr="00AD58BB" w:rsidRDefault="00933ED2" w:rsidP="00933ED2">
      <w:pPr>
        <w:spacing w:after="120"/>
        <w:rPr>
          <w:noProof/>
          <w:sz w:val="22"/>
          <w:szCs w:val="22"/>
          <w:lang w:val="en-IE" w:eastAsia="en-GB"/>
        </w:rPr>
      </w:pPr>
      <w:r w:rsidRPr="00AD58BB">
        <w:rPr>
          <w:noProof/>
          <w:sz w:val="22"/>
          <w:szCs w:val="22"/>
          <w:lang w:val="en-IE" w:eastAsia="en-GB"/>
        </w:rPr>
        <w:t>Council for the Judiciary (2024a), Strategic Plan for human resources in the Judicial Career for the decade 2023–2032 (</w:t>
      </w:r>
      <w:r w:rsidRPr="00AD58BB">
        <w:rPr>
          <w:i/>
          <w:noProof/>
          <w:sz w:val="22"/>
          <w:szCs w:val="22"/>
          <w:lang w:val="en-IE" w:eastAsia="en-GB"/>
        </w:rPr>
        <w:t>Plan Estratégico para el decenio 2023-2032 de recursos humanos en la Carrera Judicial</w:t>
      </w:r>
      <w:r w:rsidRPr="00AD58BB">
        <w:rPr>
          <w:noProof/>
          <w:sz w:val="22"/>
          <w:szCs w:val="22"/>
          <w:lang w:val="en-IE" w:eastAsia="en-GB"/>
        </w:rPr>
        <w:t xml:space="preserve">), 11 July 2024, </w:t>
      </w:r>
      <w:hyperlink r:id="rId29" w:history="1">
        <w:r w:rsidRPr="00AD58BB">
          <w:rPr>
            <w:noProof/>
            <w:color w:val="0563C1" w:themeColor="hyperlink"/>
            <w:sz w:val="22"/>
            <w:szCs w:val="22"/>
            <w:u w:val="single"/>
            <w:lang w:val="en-IE" w:eastAsia="en-GB"/>
          </w:rPr>
          <w:t>https://www.poderjudicial.es/cgpj/es/Poder-Judicial/Consejo-General-del-Poder-Judicial/Actividad-del-CGPJ/Estudios/Plan-Estrategico-para-el-decenio-2023-2032-de-recursos-humanos-en-la-Carrera-Judicial--Acuerdo-CP-CGPJ-11-07-2024-</w:t>
        </w:r>
      </w:hyperlink>
      <w:r w:rsidR="00F046AC">
        <w:rPr>
          <w:noProof/>
        </w:rPr>
        <w:t>.</w:t>
      </w:r>
      <w:r w:rsidRPr="00AD58BB">
        <w:rPr>
          <w:noProof/>
          <w:sz w:val="22"/>
          <w:szCs w:val="22"/>
          <w:lang w:val="en-IE" w:eastAsia="en-GB"/>
        </w:rPr>
        <w:t xml:space="preserve"> </w:t>
      </w:r>
    </w:p>
    <w:p w14:paraId="62726AB2" w14:textId="047CC375" w:rsidR="00933ED2" w:rsidRPr="00AD58BB" w:rsidRDefault="00933ED2" w:rsidP="00933ED2">
      <w:pPr>
        <w:spacing w:after="120"/>
        <w:rPr>
          <w:noProof/>
          <w:sz w:val="22"/>
          <w:szCs w:val="22"/>
          <w:lang w:val="en-IE" w:eastAsia="en-GB"/>
        </w:rPr>
      </w:pPr>
      <w:r w:rsidRPr="00AD58BB">
        <w:rPr>
          <w:noProof/>
          <w:sz w:val="22"/>
          <w:szCs w:val="22"/>
          <w:lang w:val="en-IE" w:eastAsia="en-GB"/>
        </w:rPr>
        <w:t>Council for the Judiciary (2025), Report on the Status, Functioning, and Activities of the Council for the Judiciary and of the Courts and Tribunals in the year 2024</w:t>
      </w:r>
      <w:r w:rsidRPr="00AD58BB">
        <w:rPr>
          <w:i/>
          <w:noProof/>
          <w:sz w:val="22"/>
          <w:szCs w:val="22"/>
          <w:lang w:val="en-IE" w:eastAsia="en-GB"/>
        </w:rPr>
        <w:t xml:space="preserve"> </w:t>
      </w:r>
      <w:r w:rsidRPr="00AD58BB">
        <w:rPr>
          <w:noProof/>
          <w:sz w:val="22"/>
          <w:szCs w:val="22"/>
          <w:lang w:val="en-IE" w:eastAsia="en-GB"/>
        </w:rPr>
        <w:t>(</w:t>
      </w:r>
      <w:r w:rsidRPr="00AD58BB">
        <w:rPr>
          <w:i/>
          <w:noProof/>
          <w:sz w:val="22"/>
          <w:szCs w:val="22"/>
          <w:lang w:val="en-IE" w:eastAsia="en-GB"/>
        </w:rPr>
        <w:t>Memoria sobre el estado, funcionamiento y actividades del Consejo General Del Poder Judicial y de los juzgados y tribunales en el año 2024</w:t>
      </w:r>
      <w:r w:rsidRPr="00AD58BB">
        <w:rPr>
          <w:noProof/>
          <w:sz w:val="22"/>
          <w:szCs w:val="22"/>
          <w:lang w:val="en-IE" w:eastAsia="en-GB"/>
        </w:rPr>
        <w:t xml:space="preserve">), 5 September 2025, </w:t>
      </w:r>
      <w:hyperlink r:id="rId30" w:history="1">
        <w:r w:rsidRPr="00AD58BB">
          <w:rPr>
            <w:noProof/>
            <w:color w:val="0563C1" w:themeColor="hyperlink"/>
            <w:sz w:val="22"/>
            <w:szCs w:val="22"/>
            <w:u w:val="single"/>
            <w:lang w:val="en-IE" w:eastAsia="en-GB"/>
          </w:rPr>
          <w:t>https://www.poderjudicial.es/cgpj/es/Poder-Judicial/Consejo-General-del-Poder-Judicial/Actividad-del-CGPJ/Memorias/Memoria-anual-2025--correspondiente-al-ejercicio-2024-</w:t>
        </w:r>
      </w:hyperlink>
      <w:r w:rsidR="00F046AC">
        <w:rPr>
          <w:noProof/>
        </w:rPr>
        <w:t>.</w:t>
      </w:r>
    </w:p>
    <w:p w14:paraId="5A742BDE" w14:textId="1680FA8D" w:rsidR="00933ED2" w:rsidRPr="00AD58BB" w:rsidRDefault="00933ED2" w:rsidP="00933ED2">
      <w:pPr>
        <w:spacing w:after="120"/>
        <w:rPr>
          <w:noProof/>
          <w:sz w:val="22"/>
          <w:szCs w:val="22"/>
          <w:lang w:val="en-IE" w:eastAsia="en-GB"/>
        </w:rPr>
      </w:pPr>
      <w:r w:rsidRPr="00AD58BB">
        <w:rPr>
          <w:noProof/>
          <w:sz w:val="22"/>
          <w:szCs w:val="22"/>
          <w:lang w:val="en-IE" w:eastAsia="en-GB"/>
        </w:rPr>
        <w:t>Council for the Judiciary (2025a), Speech of the President of the Council for the Judiciary and Supreme Court, Ms Isabel Perelló, during the opening of the judicial year</w:t>
      </w:r>
      <w:r w:rsidRPr="00AD58BB">
        <w:rPr>
          <w:i/>
          <w:noProof/>
          <w:sz w:val="22"/>
          <w:szCs w:val="22"/>
          <w:lang w:val="en-IE" w:eastAsia="en-GB"/>
        </w:rPr>
        <w:t xml:space="preserve"> </w:t>
      </w:r>
      <w:r w:rsidRPr="00AD58BB">
        <w:rPr>
          <w:noProof/>
          <w:sz w:val="22"/>
          <w:szCs w:val="22"/>
          <w:lang w:val="en-IE" w:eastAsia="en-GB"/>
        </w:rPr>
        <w:t>(</w:t>
      </w:r>
      <w:r w:rsidRPr="00AD58BB">
        <w:rPr>
          <w:i/>
          <w:noProof/>
          <w:sz w:val="22"/>
          <w:szCs w:val="22"/>
          <w:lang w:val="en-IE" w:eastAsia="en-GB"/>
        </w:rPr>
        <w:t>Discurso de la presidenta del Consejo General del Poder Judicial y del Tribunal Supremo, Doña Isabel Perelló, durante la apertura del año judicial</w:t>
      </w:r>
      <w:r w:rsidRPr="00AD58BB">
        <w:rPr>
          <w:noProof/>
          <w:sz w:val="22"/>
          <w:szCs w:val="22"/>
          <w:lang w:val="en-IE" w:eastAsia="en-GB"/>
        </w:rPr>
        <w:t xml:space="preserve">), 5 September 2025, </w:t>
      </w:r>
      <w:hyperlink r:id="rId31" w:history="1">
        <w:r w:rsidRPr="00AD58BB">
          <w:rPr>
            <w:noProof/>
            <w:color w:val="0563C1" w:themeColor="hyperlink"/>
            <w:sz w:val="22"/>
            <w:szCs w:val="22"/>
            <w:u w:val="single"/>
            <w:lang w:val="en-IE" w:eastAsia="en-GB"/>
          </w:rPr>
          <w:t>https://www.poderjudicial.es/portal/site/cgpj/menuitem.65d2c4456b6ddb628e635fc1dc432ea0/?vgnextoid=fbac0cb702919910VgnVCM1000004648ac0aRCRD&amp;vgnextchannel=ea1732cd1ddaa210VgnVCM100000cb34e20aRCRD&amp;vgnextfmt=default&amp;vgnextlocale=en&amp;lang_choosen=en</w:t>
        </w:r>
      </w:hyperlink>
      <w:r w:rsidR="00F046AC">
        <w:rPr>
          <w:noProof/>
        </w:rPr>
        <w:t>.</w:t>
      </w:r>
      <w:r w:rsidRPr="00AD58BB">
        <w:rPr>
          <w:noProof/>
          <w:sz w:val="22"/>
          <w:szCs w:val="22"/>
          <w:lang w:val="en-IE" w:eastAsia="en-GB"/>
        </w:rPr>
        <w:t xml:space="preserve"> </w:t>
      </w:r>
    </w:p>
    <w:p w14:paraId="35C3D17F" w14:textId="3E9A5706" w:rsidR="00933ED2" w:rsidRPr="00933ED2" w:rsidRDefault="00933ED2" w:rsidP="00933ED2">
      <w:pPr>
        <w:spacing w:after="120"/>
        <w:rPr>
          <w:noProof/>
          <w:sz w:val="22"/>
          <w:szCs w:val="22"/>
          <w:lang w:val="en-IE" w:eastAsia="en-GB"/>
        </w:rPr>
      </w:pPr>
      <w:r w:rsidRPr="00933ED2">
        <w:rPr>
          <w:noProof/>
          <w:sz w:val="22"/>
          <w:szCs w:val="22"/>
          <w:lang w:val="en-US" w:eastAsia="en-GB"/>
        </w:rPr>
        <w:t xml:space="preserve">Council for the Judiciary (2025b), Agreements of the Plenary Session of the Council for the Judiciary of 26 November 2025 – Extraordinary session (Acuerdos del Pleno del CGPJ de 26 de noviembre de 2025 – Extraordinario), 26 November 2025, </w:t>
      </w:r>
      <w:hyperlink r:id="rId32" w:history="1">
        <w:r w:rsidRPr="00933ED2">
          <w:rPr>
            <w:noProof/>
            <w:color w:val="0563C1" w:themeColor="hyperlink"/>
            <w:sz w:val="22"/>
            <w:szCs w:val="22"/>
            <w:u w:val="single"/>
            <w:lang w:val="en-US" w:eastAsia="en-GB"/>
          </w:rPr>
          <w:t>https://www.poderjudicial.es/portal/site/cgpj/menuitem.65d2c4456b6ddb628e635fc1dc432ea0/?vgnextoid=1231da9a403ca910VgnVCM1000004648ac0aRCRD&amp;vgnextchannel=b59fd098b243b510VgnVCM1000006f48ac0aRCRD&amp;vgnextfmt=default&amp;vgnextlocale=es_ES</w:t>
        </w:r>
      </w:hyperlink>
      <w:r w:rsidR="00F046AC">
        <w:rPr>
          <w:noProof/>
        </w:rPr>
        <w:t>.</w:t>
      </w:r>
      <w:r w:rsidRPr="00933ED2">
        <w:rPr>
          <w:noProof/>
          <w:sz w:val="22"/>
          <w:szCs w:val="22"/>
          <w:lang w:val="en-US" w:eastAsia="en-GB"/>
        </w:rPr>
        <w:t xml:space="preserve"> </w:t>
      </w:r>
    </w:p>
    <w:p w14:paraId="3448B38E" w14:textId="3DB7574A" w:rsidR="00933ED2" w:rsidRPr="00933ED2" w:rsidRDefault="00933ED2" w:rsidP="00933ED2">
      <w:pPr>
        <w:spacing w:after="120"/>
        <w:rPr>
          <w:noProof/>
          <w:sz w:val="22"/>
          <w:szCs w:val="22"/>
          <w:lang w:val="en-US" w:eastAsia="en-GB"/>
        </w:rPr>
      </w:pPr>
      <w:r w:rsidRPr="00933ED2">
        <w:rPr>
          <w:noProof/>
          <w:sz w:val="22"/>
          <w:szCs w:val="22"/>
          <w:lang w:val="en-US" w:eastAsia="en-GB"/>
        </w:rPr>
        <w:t>Council for the Judiciary (2025c), Strategic Plan for human resources in the Judicial Career for the decade 2026–2035 (</w:t>
      </w:r>
      <w:r w:rsidRPr="00933ED2">
        <w:rPr>
          <w:i/>
          <w:iCs/>
          <w:noProof/>
          <w:sz w:val="22"/>
          <w:szCs w:val="22"/>
          <w:lang w:val="en-US" w:eastAsia="en-GB"/>
        </w:rPr>
        <w:t>Plan Estratégico para el decenio 2026-2035 de recursos humanos en la Carrera Judicial</w:t>
      </w:r>
      <w:r w:rsidRPr="00933ED2">
        <w:rPr>
          <w:noProof/>
          <w:sz w:val="22"/>
          <w:szCs w:val="22"/>
          <w:lang w:val="en-US" w:eastAsia="en-GB"/>
        </w:rPr>
        <w:t xml:space="preserve">), 16 December 2025, </w:t>
      </w:r>
      <w:hyperlink r:id="rId33" w:history="1">
        <w:r w:rsidRPr="00933ED2">
          <w:rPr>
            <w:noProof/>
            <w:color w:val="0563C1" w:themeColor="hyperlink"/>
            <w:sz w:val="22"/>
            <w:szCs w:val="22"/>
            <w:u w:val="single"/>
            <w:lang w:val="en-US" w:eastAsia="en-GB"/>
          </w:rPr>
          <w:t>https://www.poderjudicial.es/cgpj/es/Poder-Judicial/Consejo-General-del-Poder-Judicial/Actividad-del-CGPJ/Estudios/Plan-Estrategico-para-el-decenio-2026-2035-de-recursos-humanos-en-la-Carrera-Judicial--Acuerdo-CP-CGPJ-16-12-2025-</w:t>
        </w:r>
      </w:hyperlink>
      <w:r w:rsidR="00F046AC">
        <w:rPr>
          <w:noProof/>
        </w:rPr>
        <w:t>.</w:t>
      </w:r>
      <w:r w:rsidRPr="00933ED2">
        <w:rPr>
          <w:noProof/>
          <w:sz w:val="22"/>
          <w:szCs w:val="22"/>
          <w:lang w:val="en-US" w:eastAsia="en-GB"/>
        </w:rPr>
        <w:t xml:space="preserve"> </w:t>
      </w:r>
    </w:p>
    <w:p w14:paraId="641D0DD3" w14:textId="105140CB" w:rsidR="00933ED2" w:rsidRPr="00933ED2" w:rsidRDefault="00933ED2" w:rsidP="00933ED2">
      <w:pPr>
        <w:spacing w:after="120"/>
        <w:rPr>
          <w:i/>
          <w:iCs/>
          <w:noProof/>
          <w:sz w:val="22"/>
          <w:szCs w:val="22"/>
          <w:lang w:val="en-US" w:eastAsia="en-GB"/>
        </w:rPr>
      </w:pPr>
      <w:r w:rsidRPr="00933ED2">
        <w:rPr>
          <w:noProof/>
          <w:sz w:val="22"/>
          <w:szCs w:val="22"/>
          <w:lang w:val="en-US" w:eastAsia="en-GB"/>
        </w:rPr>
        <w:t xml:space="preserve">Council for the Judiciary (2026), </w:t>
      </w:r>
      <w:r w:rsidR="00A16D93">
        <w:rPr>
          <w:i/>
          <w:iCs/>
          <w:noProof/>
          <w:sz w:val="22"/>
          <w:szCs w:val="22"/>
          <w:lang w:val="en-US" w:eastAsia="en-GB"/>
        </w:rPr>
        <w:t>Input</w:t>
      </w:r>
      <w:r w:rsidRPr="00933ED2">
        <w:rPr>
          <w:i/>
          <w:iCs/>
          <w:noProof/>
          <w:sz w:val="22"/>
          <w:szCs w:val="22"/>
          <w:lang w:val="en-US" w:eastAsia="en-GB"/>
        </w:rPr>
        <w:t xml:space="preserve"> from the Council for the Judiciary for the 2026 Rule of Law Report.</w:t>
      </w:r>
    </w:p>
    <w:p w14:paraId="49A83D2E" w14:textId="4391E7E3" w:rsidR="00933ED2" w:rsidRPr="00933ED2" w:rsidRDefault="00933ED2" w:rsidP="00933ED2">
      <w:pPr>
        <w:spacing w:after="120"/>
        <w:rPr>
          <w:noProof/>
          <w:sz w:val="22"/>
          <w:szCs w:val="22"/>
          <w:lang w:val="es-ES" w:eastAsia="en-GB"/>
        </w:rPr>
      </w:pPr>
      <w:r w:rsidRPr="00933ED2">
        <w:rPr>
          <w:noProof/>
          <w:sz w:val="22"/>
          <w:szCs w:val="22"/>
          <w:lang w:val="es-ES" w:eastAsia="en-GB"/>
        </w:rPr>
        <w:t>Council for the Judiciary (2026a), Agreement of 28 January 2026 approving Instruction 2/2026, on the use of artificial intelligence systems in the exercise of judicial activities (</w:t>
      </w:r>
      <w:r w:rsidRPr="00933ED2">
        <w:rPr>
          <w:i/>
          <w:iCs/>
          <w:noProof/>
          <w:sz w:val="22"/>
          <w:szCs w:val="22"/>
          <w:lang w:val="es-ES" w:eastAsia="en-GB"/>
        </w:rPr>
        <w:t>Acuerdo de 28 de enero de 2026, del Pleno del Consejo General del Poder Judicial, por el que se aprueba la Instrucción 2/2026, sobre la utilización de sistemas de inteligencia artificial en el ejercicio de la actividad jurisdiccional</w:t>
      </w:r>
      <w:r w:rsidRPr="00933ED2">
        <w:rPr>
          <w:noProof/>
          <w:sz w:val="22"/>
          <w:szCs w:val="22"/>
          <w:lang w:val="es-ES" w:eastAsia="en-GB"/>
        </w:rPr>
        <w:t xml:space="preserve">), 30 January 2026, </w:t>
      </w:r>
      <w:hyperlink r:id="rId34" w:history="1">
        <w:r w:rsidRPr="00933ED2">
          <w:rPr>
            <w:noProof/>
            <w:color w:val="0563C1" w:themeColor="hyperlink"/>
            <w:sz w:val="22"/>
            <w:szCs w:val="22"/>
            <w:u w:val="single"/>
            <w:lang w:val="es-ES" w:eastAsia="en-GB"/>
          </w:rPr>
          <w:t>https://www.boe.es/diario_boe/txt.php?id=BOE-A-2026-2205</w:t>
        </w:r>
      </w:hyperlink>
      <w:r w:rsidR="00F046AC" w:rsidRPr="00CF369C">
        <w:rPr>
          <w:noProof/>
          <w:lang w:val="es-ES"/>
        </w:rPr>
        <w:t>.</w:t>
      </w:r>
      <w:r w:rsidRPr="00933ED2">
        <w:rPr>
          <w:noProof/>
          <w:sz w:val="22"/>
          <w:szCs w:val="22"/>
          <w:lang w:val="es-ES" w:eastAsia="en-GB"/>
        </w:rPr>
        <w:t xml:space="preserve"> </w:t>
      </w:r>
    </w:p>
    <w:p w14:paraId="5A1B13FC" w14:textId="13261F07" w:rsidR="005E4986" w:rsidRPr="0021131D" w:rsidRDefault="00933ED2" w:rsidP="00933ED2">
      <w:pPr>
        <w:spacing w:after="120"/>
        <w:rPr>
          <w:noProof/>
          <w:lang w:val="es-ES"/>
        </w:rPr>
      </w:pPr>
      <w:r w:rsidRPr="00933ED2">
        <w:rPr>
          <w:noProof/>
          <w:sz w:val="22"/>
          <w:szCs w:val="22"/>
          <w:lang w:val="es-ES" w:eastAsia="en-GB"/>
        </w:rPr>
        <w:t>Council for the Judiciary (2026b), The Council for the Judiciary unanimously agrees to take note of the closure of four preliminary inquiries opened into Judge Juan Carlos Peinado (</w:t>
      </w:r>
      <w:r w:rsidRPr="00933ED2">
        <w:rPr>
          <w:i/>
          <w:iCs/>
          <w:noProof/>
          <w:sz w:val="22"/>
          <w:szCs w:val="22"/>
          <w:lang w:val="es-ES" w:eastAsia="en-GB"/>
        </w:rPr>
        <w:t>El CGPJ acuerda por unanimidad tomar conocimiento del archivo de cuatro diligencias informativas incoadas al magistrado Juan Carlos Peinado</w:t>
      </w:r>
      <w:r w:rsidRPr="00933ED2">
        <w:rPr>
          <w:noProof/>
          <w:sz w:val="22"/>
          <w:szCs w:val="22"/>
          <w:lang w:val="es-ES" w:eastAsia="en-GB"/>
        </w:rPr>
        <w:t xml:space="preserve">), 24 March 2026, </w:t>
      </w:r>
      <w:hyperlink r:id="rId35" w:history="1">
        <w:r w:rsidRPr="00933ED2">
          <w:rPr>
            <w:noProof/>
            <w:color w:val="0563C1" w:themeColor="hyperlink"/>
            <w:sz w:val="22"/>
            <w:szCs w:val="22"/>
            <w:u w:val="single"/>
            <w:lang w:val="es-ES" w:eastAsia="en-GB"/>
          </w:rPr>
          <w:t>https://www.poderjudicial.es/cgpj/es/Poder-Judicial/Consejo-General-del-Poder-Judicial/En-Portada/El-CGPJ-acuerda-por-unanimidad-tomar-conocimiento-del-archivo-de-cuatro-diligencias-informativas-incoadas-al-magistrado-Juan-Carlos-Peinado</w:t>
        </w:r>
      </w:hyperlink>
      <w:r w:rsidR="00F046AC" w:rsidRPr="00CF369C">
        <w:rPr>
          <w:noProof/>
          <w:lang w:val="es-ES"/>
        </w:rPr>
        <w:t>.</w:t>
      </w:r>
    </w:p>
    <w:p w14:paraId="6D57F5BF" w14:textId="154E691E" w:rsidR="00933ED2" w:rsidRPr="00933ED2" w:rsidRDefault="00933ED2" w:rsidP="00933ED2">
      <w:pPr>
        <w:spacing w:after="120"/>
        <w:rPr>
          <w:noProof/>
          <w:sz w:val="22"/>
          <w:szCs w:val="22"/>
          <w:lang w:val="en-IE" w:eastAsia="en-GB"/>
        </w:rPr>
      </w:pPr>
      <w:r w:rsidRPr="00933ED2">
        <w:rPr>
          <w:noProof/>
          <w:sz w:val="22"/>
          <w:szCs w:val="22"/>
          <w:lang w:val="en-IE" w:eastAsia="en-GB"/>
        </w:rPr>
        <w:t>Council for the Judiciary (2026c), The Council for the Judiciary appoints two judges to the Fifth Chamber of the Supreme Court and the presidents of the High Courts of Justice of the Basque Country and the Canary Islands (</w:t>
      </w:r>
      <w:r w:rsidRPr="007308FB">
        <w:rPr>
          <w:i/>
          <w:iCs/>
          <w:noProof/>
          <w:sz w:val="22"/>
          <w:szCs w:val="22"/>
          <w:lang w:val="en-IE" w:eastAsia="en-GB"/>
        </w:rPr>
        <w:t>El CGPJ nombra a dos magistrados de la Sala Quinta del Tribunal Supremo y a los presidentes de los TSJ del País Vasco y Canarias</w:t>
      </w:r>
      <w:r w:rsidRPr="00933ED2">
        <w:rPr>
          <w:noProof/>
          <w:sz w:val="22"/>
          <w:szCs w:val="22"/>
          <w:lang w:val="en-IE" w:eastAsia="en-GB"/>
        </w:rPr>
        <w:t xml:space="preserve">), 27 May 2026, </w:t>
      </w:r>
      <w:hyperlink r:id="rId36" w:history="1">
        <w:r w:rsidRPr="00933ED2">
          <w:rPr>
            <w:noProof/>
            <w:color w:val="0563C1" w:themeColor="hyperlink"/>
            <w:sz w:val="22"/>
            <w:szCs w:val="22"/>
            <w:u w:val="single"/>
            <w:lang w:val="en-IE" w:eastAsia="en-GB"/>
          </w:rPr>
          <w:t>https://www.poderjudicial.es/cgpj/es/Poder-Judicial/En-Portada/El-CGPJ-nombra-a-dos-magistrados-de-la-Sala-Quinta-del-Tribunal-Supremo-y-a-los-presidentes-de-los-TSJ-del-Pais-Vasco-y-Canarias</w:t>
        </w:r>
      </w:hyperlink>
      <w:r w:rsidRPr="00933ED2">
        <w:rPr>
          <w:noProof/>
          <w:sz w:val="22"/>
          <w:szCs w:val="22"/>
          <w:lang w:val="en-IE" w:eastAsia="en-GB"/>
        </w:rPr>
        <w:t>.</w:t>
      </w:r>
    </w:p>
    <w:p w14:paraId="627B82B1" w14:textId="25E87121" w:rsidR="00933ED2" w:rsidRPr="00933ED2" w:rsidRDefault="00933ED2" w:rsidP="00933ED2">
      <w:pPr>
        <w:spacing w:after="120"/>
        <w:rPr>
          <w:noProof/>
          <w:sz w:val="22"/>
          <w:szCs w:val="22"/>
          <w:lang w:val="en-IE" w:eastAsia="en-GB"/>
        </w:rPr>
      </w:pPr>
      <w:r w:rsidRPr="00933ED2">
        <w:rPr>
          <w:noProof/>
          <w:sz w:val="22"/>
          <w:szCs w:val="22"/>
          <w:lang w:val="en-IE" w:eastAsia="en-GB"/>
        </w:rPr>
        <w:t>Council for the Judiciary (2026d), The Council for the Judiciary approves the call for examinations for the Judicial and Prosecutorial Careers, offering 575 positions (</w:t>
      </w:r>
      <w:r w:rsidRPr="00933ED2">
        <w:rPr>
          <w:i/>
          <w:iCs/>
          <w:noProof/>
          <w:sz w:val="22"/>
          <w:szCs w:val="22"/>
          <w:lang w:val="en-IE" w:eastAsia="en-GB"/>
        </w:rPr>
        <w:t>El CGPJ acuerda la convocatoria de las pruebas de acceso a las Carreras Judicial y Fiscal, en la que se ofertarán 575 plazas</w:t>
      </w:r>
      <w:r w:rsidRPr="00933ED2">
        <w:rPr>
          <w:noProof/>
          <w:sz w:val="22"/>
          <w:szCs w:val="22"/>
          <w:lang w:val="en-IE" w:eastAsia="en-GB"/>
        </w:rPr>
        <w:t xml:space="preserve">), 27 May 2026, </w:t>
      </w:r>
      <w:hyperlink r:id="rId37" w:history="1">
        <w:r w:rsidRPr="00933ED2">
          <w:rPr>
            <w:noProof/>
            <w:color w:val="0563C1" w:themeColor="hyperlink"/>
            <w:sz w:val="22"/>
            <w:szCs w:val="22"/>
            <w:u w:val="single"/>
            <w:lang w:val="en-IE" w:eastAsia="en-GB"/>
          </w:rPr>
          <w:t>https://www.poderjudicial.es/cgpj/es/Poder-Judicial/Consejo-General-del-Poder-Judicial/En-Portada/El-CGPJ-acuerda-la-convocatoria-de-las-pruebas-de-acceso-a-las-Carreras-Judicial-y-Fiscal--en-la-que-se-ofertaran-575-plazas-</w:t>
        </w:r>
      </w:hyperlink>
      <w:r w:rsidR="00F046AC">
        <w:rPr>
          <w:noProof/>
          <w:sz w:val="22"/>
          <w:szCs w:val="22"/>
          <w:lang w:val="en-IE" w:eastAsia="en-GB"/>
        </w:rPr>
        <w:t>.</w:t>
      </w:r>
    </w:p>
    <w:p w14:paraId="3751A621" w14:textId="002DFBD1" w:rsidR="00933ED2" w:rsidRDefault="00933ED2" w:rsidP="00933ED2">
      <w:pPr>
        <w:spacing w:after="120"/>
        <w:rPr>
          <w:noProof/>
          <w:sz w:val="22"/>
          <w:szCs w:val="22"/>
          <w:lang w:val="en-IE" w:eastAsia="en-GB"/>
        </w:rPr>
      </w:pPr>
      <w:r w:rsidRPr="00933ED2">
        <w:rPr>
          <w:noProof/>
          <w:sz w:val="22"/>
          <w:szCs w:val="22"/>
          <w:lang w:val="en-IE" w:eastAsia="en-GB"/>
        </w:rPr>
        <w:t>Council for the Judiciary (2026e), Statement by the Permanent Committee (</w:t>
      </w:r>
      <w:r w:rsidRPr="007308FB">
        <w:rPr>
          <w:i/>
          <w:iCs/>
          <w:noProof/>
          <w:sz w:val="22"/>
          <w:szCs w:val="22"/>
          <w:lang w:val="en-IE" w:eastAsia="en-GB"/>
        </w:rPr>
        <w:t>Declaración institucional de la Comisión Permanente</w:t>
      </w:r>
      <w:r w:rsidRPr="00933ED2">
        <w:rPr>
          <w:noProof/>
          <w:sz w:val="22"/>
          <w:szCs w:val="22"/>
          <w:lang w:val="en-IE" w:eastAsia="en-GB"/>
        </w:rPr>
        <w:t xml:space="preserve">), 2 June 2026, </w:t>
      </w:r>
      <w:hyperlink r:id="rId38" w:history="1">
        <w:r w:rsidRPr="00933ED2">
          <w:rPr>
            <w:noProof/>
            <w:color w:val="0563C1" w:themeColor="hyperlink"/>
            <w:sz w:val="22"/>
            <w:szCs w:val="22"/>
            <w:u w:val="single"/>
            <w:lang w:val="en-IE" w:eastAsia="en-GB"/>
          </w:rPr>
          <w:t>https://www.poderjudicial.es/cgpj/es/Poder-Judicial/En-Portada/Declaracion-institucional-de-la-Comision-Permanente-</w:t>
        </w:r>
      </w:hyperlink>
      <w:r w:rsidR="00F046AC">
        <w:rPr>
          <w:noProof/>
        </w:rPr>
        <w:t>.</w:t>
      </w:r>
      <w:r w:rsidRPr="00933ED2">
        <w:rPr>
          <w:noProof/>
          <w:sz w:val="22"/>
          <w:szCs w:val="22"/>
          <w:lang w:val="en-IE" w:eastAsia="en-GB"/>
        </w:rPr>
        <w:t xml:space="preserve"> </w:t>
      </w:r>
    </w:p>
    <w:p w14:paraId="50D832B2" w14:textId="4C6AB8CC" w:rsidR="004D52E0" w:rsidRDefault="004D52E0" w:rsidP="0070318E">
      <w:pPr>
        <w:spacing w:after="120"/>
        <w:rPr>
          <w:noProof/>
          <w:sz w:val="22"/>
          <w:szCs w:val="22"/>
          <w:lang w:val="es-ES" w:eastAsia="en-GB"/>
        </w:rPr>
      </w:pPr>
      <w:r>
        <w:rPr>
          <w:noProof/>
          <w:sz w:val="22"/>
          <w:szCs w:val="22"/>
          <w:lang w:val="en-IE" w:eastAsia="en-GB"/>
        </w:rPr>
        <w:t xml:space="preserve">Council for the Judiciary (2026f), </w:t>
      </w:r>
      <w:r w:rsidRPr="004D52E0">
        <w:rPr>
          <w:noProof/>
          <w:sz w:val="22"/>
          <w:szCs w:val="22"/>
          <w:lang w:val="en-IE" w:eastAsia="en-GB"/>
        </w:rPr>
        <w:t>Agreement of 4 June 2026 of the Selection Committee referred to in Article</w:t>
      </w:r>
      <w:r>
        <w:rPr>
          <w:noProof/>
          <w:sz w:val="22"/>
          <w:szCs w:val="22"/>
          <w:lang w:val="en-IE" w:eastAsia="en-GB"/>
        </w:rPr>
        <w:t xml:space="preserve"> </w:t>
      </w:r>
      <w:r w:rsidRPr="004D52E0">
        <w:rPr>
          <w:noProof/>
          <w:sz w:val="22"/>
          <w:szCs w:val="22"/>
          <w:lang w:val="en-IE" w:eastAsia="en-GB"/>
        </w:rPr>
        <w:t>305 of the Organic Law on the Judiciary</w:t>
      </w:r>
      <w:r>
        <w:rPr>
          <w:noProof/>
          <w:sz w:val="22"/>
          <w:szCs w:val="22"/>
          <w:lang w:val="en-IE" w:eastAsia="en-GB"/>
        </w:rPr>
        <w:t xml:space="preserve"> […] </w:t>
      </w:r>
      <w:r w:rsidR="008C1AD8" w:rsidRPr="00CE0F9E">
        <w:rPr>
          <w:noProof/>
          <w:sz w:val="22"/>
          <w:szCs w:val="22"/>
          <w:lang w:val="es-ES" w:eastAsia="en-GB"/>
        </w:rPr>
        <w:t>(</w:t>
      </w:r>
      <w:r w:rsidR="0070318E" w:rsidRPr="00CE0F9E">
        <w:rPr>
          <w:i/>
          <w:iCs/>
          <w:noProof/>
          <w:sz w:val="22"/>
          <w:szCs w:val="22"/>
          <w:lang w:val="es-ES" w:eastAsia="en-GB"/>
        </w:rPr>
        <w:t>Acuerdo de 4 de junio de 2026, de la Comisión de Selección a la que se refiere el artículo 305 de la Ley Orgánica del Poder Judicial</w:t>
      </w:r>
      <w:r w:rsidR="0070318E">
        <w:rPr>
          <w:noProof/>
          <w:sz w:val="22"/>
          <w:szCs w:val="22"/>
          <w:lang w:val="es-ES" w:eastAsia="en-GB"/>
        </w:rPr>
        <w:t xml:space="preserve"> […]), </w:t>
      </w:r>
      <w:r w:rsidR="00A61E2A">
        <w:rPr>
          <w:noProof/>
          <w:sz w:val="22"/>
          <w:szCs w:val="22"/>
          <w:lang w:val="es-ES" w:eastAsia="en-GB"/>
        </w:rPr>
        <w:t xml:space="preserve">15 June 2026, </w:t>
      </w:r>
      <w:hyperlink r:id="rId39" w:history="1">
        <w:r w:rsidR="00A61E2A" w:rsidRPr="0092009E">
          <w:rPr>
            <w:rStyle w:val="Hyperlink"/>
            <w:noProof/>
            <w:sz w:val="22"/>
            <w:szCs w:val="22"/>
            <w:lang w:val="es-ES" w:eastAsia="en-GB"/>
          </w:rPr>
          <w:t>https://www.boe.es/boe/dias/2026/06/15/pdfs/BOE-A-2026-12918.pdf</w:t>
        </w:r>
      </w:hyperlink>
      <w:r w:rsidR="00A61E2A">
        <w:rPr>
          <w:noProof/>
          <w:sz w:val="22"/>
          <w:szCs w:val="22"/>
          <w:lang w:val="es-ES" w:eastAsia="en-GB"/>
        </w:rPr>
        <w:t xml:space="preserve"> </w:t>
      </w:r>
    </w:p>
    <w:p w14:paraId="0DA9FF7F" w14:textId="36CAA857" w:rsidR="00C47550" w:rsidRDefault="00C248D5" w:rsidP="00CE71C8">
      <w:pPr>
        <w:spacing w:after="120"/>
        <w:rPr>
          <w:noProof/>
          <w:sz w:val="22"/>
          <w:szCs w:val="22"/>
          <w:lang w:val="es-ES" w:eastAsia="en-GB"/>
        </w:rPr>
      </w:pPr>
      <w:r w:rsidRPr="00CE0F9E">
        <w:rPr>
          <w:noProof/>
          <w:sz w:val="22"/>
          <w:szCs w:val="22"/>
          <w:lang w:val="en-IE" w:eastAsia="en-GB"/>
        </w:rPr>
        <w:t>Council for the Judiciary (2026g</w:t>
      </w:r>
      <w:r>
        <w:rPr>
          <w:noProof/>
          <w:sz w:val="22"/>
          <w:szCs w:val="22"/>
          <w:lang w:val="en-IE" w:eastAsia="en-GB"/>
        </w:rPr>
        <w:t xml:space="preserve">), </w:t>
      </w:r>
      <w:r w:rsidR="00B50FAD">
        <w:rPr>
          <w:noProof/>
          <w:sz w:val="22"/>
          <w:szCs w:val="22"/>
          <w:lang w:val="en-IE" w:eastAsia="en-GB"/>
        </w:rPr>
        <w:t>Agreement of</w:t>
      </w:r>
      <w:r w:rsidR="00B50FAD" w:rsidRPr="00B50FAD">
        <w:rPr>
          <w:noProof/>
          <w:sz w:val="22"/>
          <w:szCs w:val="22"/>
          <w:lang w:val="en-IE" w:eastAsia="en-GB"/>
        </w:rPr>
        <w:t xml:space="preserve"> 9 June 2026 of the </w:t>
      </w:r>
      <w:r w:rsidR="00AA2A3C">
        <w:rPr>
          <w:noProof/>
          <w:sz w:val="22"/>
          <w:szCs w:val="22"/>
          <w:lang w:val="en-IE" w:eastAsia="en-GB"/>
        </w:rPr>
        <w:t>Permanent</w:t>
      </w:r>
      <w:r w:rsidR="00B50FAD" w:rsidRPr="00B50FAD">
        <w:rPr>
          <w:noProof/>
          <w:sz w:val="22"/>
          <w:szCs w:val="22"/>
          <w:lang w:val="en-IE" w:eastAsia="en-GB"/>
        </w:rPr>
        <w:t xml:space="preserve"> Committee of the Council of the Judiciary, announcing a selection process to fill vacancies</w:t>
      </w:r>
      <w:r w:rsidR="00AA2A3C">
        <w:rPr>
          <w:noProof/>
          <w:sz w:val="22"/>
          <w:szCs w:val="22"/>
          <w:lang w:val="en-IE" w:eastAsia="en-GB"/>
        </w:rPr>
        <w:t xml:space="preserve"> […] </w:t>
      </w:r>
      <w:r w:rsidR="00AA2A3C" w:rsidRPr="00CE0F9E">
        <w:rPr>
          <w:noProof/>
          <w:sz w:val="22"/>
          <w:szCs w:val="22"/>
          <w:lang w:val="es-ES" w:eastAsia="en-GB"/>
        </w:rPr>
        <w:t>(</w:t>
      </w:r>
      <w:r w:rsidR="00CE71C8" w:rsidRPr="00F64242">
        <w:rPr>
          <w:i/>
          <w:iCs/>
          <w:noProof/>
          <w:sz w:val="22"/>
          <w:szCs w:val="22"/>
          <w:lang w:val="es-ES" w:eastAsia="en-GB"/>
        </w:rPr>
        <w:t>Acuerdo de 9 de junio de 2026, de la Comisión Permanente del Consejo General del Poder Judicial, por el que se convoca proceso selectivo para la provisión de plazas</w:t>
      </w:r>
      <w:r w:rsidR="00CE71C8">
        <w:rPr>
          <w:noProof/>
          <w:sz w:val="22"/>
          <w:szCs w:val="22"/>
          <w:lang w:val="es-ES" w:eastAsia="en-GB"/>
        </w:rPr>
        <w:t xml:space="preserve"> […]), </w:t>
      </w:r>
      <w:r w:rsidR="00287F67">
        <w:rPr>
          <w:noProof/>
          <w:sz w:val="22"/>
          <w:szCs w:val="22"/>
          <w:lang w:val="es-ES" w:eastAsia="en-GB"/>
        </w:rPr>
        <w:t>15</w:t>
      </w:r>
      <w:r w:rsidR="00CE71C8">
        <w:rPr>
          <w:noProof/>
          <w:sz w:val="22"/>
          <w:szCs w:val="22"/>
          <w:lang w:val="es-ES" w:eastAsia="en-GB"/>
        </w:rPr>
        <w:t xml:space="preserve"> June </w:t>
      </w:r>
      <w:r w:rsidR="00287F67">
        <w:rPr>
          <w:noProof/>
          <w:sz w:val="22"/>
          <w:szCs w:val="22"/>
          <w:lang w:val="es-ES" w:eastAsia="en-GB"/>
        </w:rPr>
        <w:t xml:space="preserve">2026, </w:t>
      </w:r>
      <w:hyperlink r:id="rId40" w:history="1">
        <w:r w:rsidR="00815815" w:rsidRPr="000E012E">
          <w:rPr>
            <w:rStyle w:val="Hyperlink"/>
            <w:noProof/>
            <w:sz w:val="22"/>
            <w:szCs w:val="22"/>
            <w:lang w:val="es-ES" w:eastAsia="en-GB"/>
          </w:rPr>
          <w:t>https://www.boe.es/boe/dias/2026/06/15/pdfs/BOE-A-2026-12913.pdf</w:t>
        </w:r>
      </w:hyperlink>
      <w:r w:rsidR="00815815">
        <w:rPr>
          <w:noProof/>
          <w:sz w:val="22"/>
          <w:szCs w:val="22"/>
          <w:lang w:val="es-ES" w:eastAsia="en-GB"/>
        </w:rPr>
        <w:t xml:space="preserve">; </w:t>
      </w:r>
      <w:hyperlink r:id="rId41" w:history="1">
        <w:r w:rsidR="00C47550" w:rsidRPr="000E012E">
          <w:rPr>
            <w:rStyle w:val="Hyperlink"/>
            <w:noProof/>
            <w:sz w:val="22"/>
            <w:szCs w:val="22"/>
            <w:lang w:val="es-ES" w:eastAsia="en-GB"/>
          </w:rPr>
          <w:t>https://www.boe.es/boe/dias/2026/06/15/pdfs/BOE-A-2026-12914.pdf</w:t>
        </w:r>
      </w:hyperlink>
      <w:r w:rsidR="004878AE">
        <w:rPr>
          <w:noProof/>
          <w:sz w:val="22"/>
          <w:szCs w:val="22"/>
          <w:lang w:val="es-ES" w:eastAsia="en-GB"/>
        </w:rPr>
        <w:t xml:space="preserve">; </w:t>
      </w:r>
      <w:hyperlink r:id="rId42" w:history="1">
        <w:r w:rsidR="00027652" w:rsidRPr="000E012E">
          <w:rPr>
            <w:rStyle w:val="Hyperlink"/>
            <w:noProof/>
            <w:sz w:val="22"/>
            <w:szCs w:val="22"/>
            <w:lang w:val="es-ES" w:eastAsia="en-GB"/>
          </w:rPr>
          <w:t>https://www.boe.es/boe/dias/2026/06/15/pdfs/BOE-A-2026-12915.pdf</w:t>
        </w:r>
      </w:hyperlink>
      <w:r w:rsidR="00027652">
        <w:rPr>
          <w:noProof/>
          <w:sz w:val="22"/>
          <w:szCs w:val="22"/>
          <w:lang w:val="es-ES" w:eastAsia="en-GB"/>
        </w:rPr>
        <w:t xml:space="preserve">; </w:t>
      </w:r>
      <w:hyperlink r:id="rId43" w:history="1">
        <w:r w:rsidR="00C47550" w:rsidRPr="000E012E">
          <w:rPr>
            <w:rStyle w:val="Hyperlink"/>
            <w:noProof/>
            <w:sz w:val="22"/>
            <w:szCs w:val="22"/>
            <w:lang w:val="es-ES" w:eastAsia="en-GB"/>
          </w:rPr>
          <w:t>https://www.boe.es/boe/dias/2026/06/15/pdfs/BOE-A-2026-12916.pdf</w:t>
        </w:r>
      </w:hyperlink>
      <w:r w:rsidR="001E39B8">
        <w:rPr>
          <w:noProof/>
          <w:sz w:val="22"/>
          <w:szCs w:val="22"/>
          <w:lang w:val="es-ES" w:eastAsia="en-GB"/>
        </w:rPr>
        <w:t xml:space="preserve">; </w:t>
      </w:r>
      <w:hyperlink r:id="rId44" w:history="1">
        <w:r w:rsidR="00C47550" w:rsidRPr="000E012E">
          <w:rPr>
            <w:rStyle w:val="Hyperlink"/>
            <w:noProof/>
            <w:sz w:val="22"/>
            <w:szCs w:val="22"/>
            <w:lang w:val="es-ES" w:eastAsia="en-GB"/>
          </w:rPr>
          <w:t>https://www.boe.es/boe/dias/2026/06/15/pdfs/BOE-A-2026-12917.pdf</w:t>
        </w:r>
      </w:hyperlink>
      <w:r w:rsidR="00C47550">
        <w:rPr>
          <w:noProof/>
          <w:sz w:val="22"/>
          <w:szCs w:val="22"/>
          <w:lang w:val="es-ES" w:eastAsia="en-GB"/>
        </w:rPr>
        <w:t>.</w:t>
      </w:r>
    </w:p>
    <w:p w14:paraId="5290A91A" w14:textId="1C376F81" w:rsidR="00DC20ED" w:rsidRPr="00CE0F9E" w:rsidRDefault="00DC20ED" w:rsidP="0070318E">
      <w:pPr>
        <w:spacing w:after="120"/>
        <w:rPr>
          <w:noProof/>
          <w:sz w:val="22"/>
          <w:szCs w:val="22"/>
          <w:lang w:val="es-ES" w:eastAsia="en-GB"/>
        </w:rPr>
      </w:pPr>
      <w:r w:rsidRPr="00C973FD">
        <w:rPr>
          <w:noProof/>
          <w:sz w:val="22"/>
          <w:szCs w:val="22"/>
          <w:lang w:val="es-ES" w:eastAsia="en-GB"/>
        </w:rPr>
        <w:t>Council for the Judiciary (2026</w:t>
      </w:r>
      <w:r w:rsidR="00C973FD" w:rsidRPr="00CE0F9E">
        <w:rPr>
          <w:noProof/>
          <w:sz w:val="22"/>
          <w:szCs w:val="22"/>
          <w:lang w:val="es-ES" w:eastAsia="en-GB"/>
        </w:rPr>
        <w:t>h</w:t>
      </w:r>
      <w:r w:rsidRPr="00C973FD">
        <w:rPr>
          <w:noProof/>
          <w:sz w:val="22"/>
          <w:szCs w:val="22"/>
          <w:lang w:val="es-ES" w:eastAsia="en-GB"/>
        </w:rPr>
        <w:t>),</w:t>
      </w:r>
      <w:r w:rsidRPr="00F74A25">
        <w:rPr>
          <w:noProof/>
          <w:sz w:val="22"/>
          <w:szCs w:val="22"/>
          <w:lang w:val="es-ES" w:eastAsia="en-GB"/>
        </w:rPr>
        <w:t xml:space="preserve"> </w:t>
      </w:r>
      <w:r w:rsidRPr="006F7414">
        <w:rPr>
          <w:noProof/>
          <w:sz w:val="22"/>
          <w:szCs w:val="22"/>
          <w:lang w:val="es-ES" w:eastAsia="en-GB"/>
        </w:rPr>
        <w:t>The Permanent Committee agrees to forward to the Head of the Disciplinary Action the order issued last Saturday by Justice Juan Carlos Peinado (</w:t>
      </w:r>
      <w:r w:rsidRPr="006F7414">
        <w:rPr>
          <w:i/>
          <w:iCs/>
          <w:noProof/>
          <w:sz w:val="22"/>
          <w:szCs w:val="22"/>
          <w:lang w:val="es-ES" w:eastAsia="en-GB"/>
        </w:rPr>
        <w:t>La Comisión Permanente acuerda remitir al Promotor de la Acción Disciplinaria el auto dictado el pasado sábado por el magistrado Juan Carlos Peinado</w:t>
      </w:r>
      <w:r>
        <w:rPr>
          <w:noProof/>
          <w:sz w:val="22"/>
          <w:szCs w:val="22"/>
          <w:lang w:val="es-ES" w:eastAsia="en-GB"/>
        </w:rPr>
        <w:t xml:space="preserve">), 22 June 2026, </w:t>
      </w:r>
      <w:hyperlink r:id="rId45" w:history="1">
        <w:r w:rsidRPr="00A64D08">
          <w:rPr>
            <w:rStyle w:val="Hyperlink"/>
            <w:noProof/>
            <w:sz w:val="22"/>
            <w:szCs w:val="22"/>
            <w:lang w:val="es-ES" w:eastAsia="en-GB"/>
          </w:rPr>
          <w:t>https://www.poderjudicial.es/cgpj/es/Poder-Judicial/Consejo-General-del-Poder-Judicial/En-Portada/La-Comision-Permanente-acuerda-remitir-al-Promotor-de-la-Accion-Disciplinaria-el-auto-dictado-el-pasado-sabado-por-el-magistrado-Juan-Carlos-Peinado</w:t>
        </w:r>
      </w:hyperlink>
    </w:p>
    <w:p w14:paraId="525F140F" w14:textId="40C1EA24" w:rsidR="00933ED2" w:rsidRPr="00933ED2" w:rsidRDefault="00933ED2" w:rsidP="00933ED2">
      <w:pPr>
        <w:spacing w:after="120"/>
        <w:rPr>
          <w:noProof/>
          <w:sz w:val="22"/>
          <w:szCs w:val="22"/>
          <w:lang w:val="en-IE" w:eastAsia="fr-FR"/>
        </w:rPr>
      </w:pPr>
      <w:r w:rsidRPr="00933ED2">
        <w:rPr>
          <w:noProof/>
          <w:sz w:val="22"/>
          <w:szCs w:val="22"/>
          <w:lang w:val="en-IE" w:eastAsia="fr-FR"/>
        </w:rPr>
        <w:t xml:space="preserve">Council of Europe: Committee of Ministers (2010), </w:t>
      </w:r>
      <w:r w:rsidRPr="00933ED2">
        <w:rPr>
          <w:i/>
          <w:iCs/>
          <w:noProof/>
          <w:sz w:val="22"/>
          <w:szCs w:val="22"/>
          <w:lang w:val="en-IE" w:eastAsia="fr-FR"/>
        </w:rPr>
        <w:t>Recommendation of the Committee of Ministers to member states on judges: independence, efficiency and responsibilities</w:t>
      </w:r>
      <w:r w:rsidRPr="00933ED2">
        <w:rPr>
          <w:noProof/>
          <w:sz w:val="22"/>
          <w:szCs w:val="22"/>
          <w:lang w:val="en-IE" w:eastAsia="fr-FR"/>
        </w:rPr>
        <w:t xml:space="preserve"> (CM/Rec(2010)12), 17 November 2010, </w:t>
      </w:r>
      <w:hyperlink r:id="rId46" w:anchor="{%22CoEIdentifier%22:[%2209000016805afb78%22],%22sort%22:[%22CoEValidationDate%20Descending%22]}" w:history="1">
        <w:r w:rsidRPr="00933ED2">
          <w:rPr>
            <w:noProof/>
            <w:color w:val="0563C1" w:themeColor="hyperlink"/>
            <w:sz w:val="22"/>
            <w:szCs w:val="22"/>
            <w:u w:val="single"/>
            <w:lang w:val="en-IE" w:eastAsia="fr-FR"/>
          </w:rPr>
          <w:t>https://search.coe.int/cm#{%22CoEIdentifier%22:[%2209000016805afb78%22],%22sort%22:[%22CoEValidationDate%20Descending%22]}</w:t>
        </w:r>
      </w:hyperlink>
      <w:r w:rsidR="00F046AC">
        <w:rPr>
          <w:noProof/>
        </w:rPr>
        <w:t>.</w:t>
      </w:r>
    </w:p>
    <w:p w14:paraId="249155A6" w14:textId="77777777" w:rsidR="00933ED2" w:rsidRPr="00933ED2" w:rsidRDefault="00933ED2" w:rsidP="00933ED2">
      <w:pPr>
        <w:spacing w:after="120"/>
        <w:rPr>
          <w:noProof/>
          <w:sz w:val="22"/>
          <w:szCs w:val="22"/>
          <w:lang w:val="en-IE" w:eastAsia="fr-FR"/>
        </w:rPr>
      </w:pPr>
      <w:r w:rsidRPr="00933ED2">
        <w:rPr>
          <w:noProof/>
          <w:sz w:val="22"/>
          <w:szCs w:val="22"/>
          <w:lang w:eastAsia="fr-FR"/>
        </w:rPr>
        <w:t xml:space="preserve">Council of Europe: Committee of Ministers (2026), </w:t>
      </w:r>
      <w:r w:rsidRPr="00933ED2">
        <w:rPr>
          <w:i/>
          <w:iCs/>
          <w:noProof/>
          <w:sz w:val="22"/>
          <w:szCs w:val="22"/>
          <w:lang w:eastAsia="fr-FR"/>
        </w:rPr>
        <w:t>Supervision of the execution of judgments and decisions of the European Court of Human Rights – 19th Annual Report of the Committee of Ministers,</w:t>
      </w:r>
      <w:r w:rsidRPr="00933ED2">
        <w:rPr>
          <w:noProof/>
          <w:sz w:val="22"/>
          <w:szCs w:val="22"/>
          <w:lang w:eastAsia="fr-FR"/>
        </w:rPr>
        <w:t xml:space="preserve"> March 2026,</w:t>
      </w:r>
      <w:r w:rsidRPr="00933ED2">
        <w:rPr>
          <w:i/>
          <w:iCs/>
          <w:noProof/>
          <w:sz w:val="22"/>
          <w:szCs w:val="22"/>
          <w:lang w:eastAsia="fr-FR"/>
        </w:rPr>
        <w:t xml:space="preserve"> </w:t>
      </w:r>
      <w:hyperlink r:id="rId47" w:history="1">
        <w:r w:rsidRPr="00933ED2">
          <w:rPr>
            <w:noProof/>
            <w:color w:val="0563C1" w:themeColor="hyperlink"/>
            <w:sz w:val="22"/>
            <w:szCs w:val="22"/>
            <w:u w:val="single"/>
            <w:lang w:val="en-IE" w:eastAsia="fr-FR"/>
          </w:rPr>
          <w:t>https://rm.coe.int/2025-annual-report/48802b1633</w:t>
        </w:r>
      </w:hyperlink>
      <w:r w:rsidRPr="00933ED2">
        <w:rPr>
          <w:noProof/>
          <w:sz w:val="22"/>
          <w:szCs w:val="22"/>
          <w:lang w:val="en-IE" w:eastAsia="fr-FR"/>
        </w:rPr>
        <w:t xml:space="preserve">. </w:t>
      </w:r>
    </w:p>
    <w:p w14:paraId="768F7EBE" w14:textId="4088FDEB"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Council of Europe: Consultative Council of European Judges (2015), </w:t>
      </w:r>
      <w:r w:rsidRPr="00933ED2">
        <w:rPr>
          <w:i/>
          <w:iCs/>
          <w:noProof/>
          <w:sz w:val="22"/>
          <w:szCs w:val="22"/>
          <w:lang w:val="en-US" w:eastAsia="en-GB"/>
        </w:rPr>
        <w:t xml:space="preserve">Opinion n°18 "The position of the judiciary and its relation with the other powers of state in a modern democracy", </w:t>
      </w:r>
      <w:r w:rsidRPr="00933ED2">
        <w:rPr>
          <w:noProof/>
          <w:sz w:val="22"/>
          <w:szCs w:val="22"/>
          <w:lang w:val="en-US" w:eastAsia="en-GB"/>
        </w:rPr>
        <w:t xml:space="preserve">16 October 2015, </w:t>
      </w:r>
      <w:hyperlink r:id="rId48" w:history="1">
        <w:r w:rsidRPr="00933ED2">
          <w:rPr>
            <w:noProof/>
            <w:color w:val="0563C1" w:themeColor="hyperlink"/>
            <w:sz w:val="22"/>
            <w:szCs w:val="22"/>
            <w:u w:val="single"/>
            <w:lang w:val="en-US" w:eastAsia="en-GB"/>
          </w:rPr>
          <w:t>https://rm.coe.int/4880152a92</w:t>
        </w:r>
      </w:hyperlink>
      <w:r w:rsidR="00F046AC">
        <w:rPr>
          <w:noProof/>
        </w:rPr>
        <w:t>.</w:t>
      </w:r>
      <w:r w:rsidRPr="00933ED2">
        <w:rPr>
          <w:noProof/>
          <w:sz w:val="22"/>
          <w:szCs w:val="22"/>
          <w:lang w:val="en-US" w:eastAsia="en-GB"/>
        </w:rPr>
        <w:t xml:space="preserve"> </w:t>
      </w:r>
    </w:p>
    <w:p w14:paraId="79FE3D20" w14:textId="69598D72"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Council of Europe: GRECO (2019), </w:t>
      </w:r>
      <w:r w:rsidRPr="00933ED2">
        <w:rPr>
          <w:i/>
          <w:noProof/>
          <w:sz w:val="22"/>
          <w:szCs w:val="22"/>
          <w:lang w:val="en-US" w:eastAsia="en-GB"/>
        </w:rPr>
        <w:t xml:space="preserve">Fifth Evaluation Round – Evaluation Report on Spain on preventing corruption and promoting integrity in central Governments (top executive functions) and law enforcement agencies, </w:t>
      </w:r>
      <w:hyperlink r:id="rId49" w:history="1">
        <w:r w:rsidR="00CC17AD" w:rsidRPr="002A1294">
          <w:rPr>
            <w:rStyle w:val="Hyperlink"/>
            <w:noProof/>
            <w:sz w:val="22"/>
            <w:szCs w:val="22"/>
            <w:lang w:val="en-US" w:eastAsia="en-GB"/>
          </w:rPr>
          <w:t>https://rm.coe.int/fifth-evaluation-round-preventing-corruption-and-promoting-integrity-i/168098c691</w:t>
        </w:r>
      </w:hyperlink>
      <w:r w:rsidR="00CC17AD">
        <w:rPr>
          <w:noProof/>
          <w:sz w:val="22"/>
          <w:szCs w:val="22"/>
          <w:u w:val="single"/>
          <w:lang w:val="en-US" w:eastAsia="en-GB"/>
        </w:rPr>
        <w:t xml:space="preserve"> </w:t>
      </w:r>
    </w:p>
    <w:p w14:paraId="11B74E6C" w14:textId="1BF7C1F4" w:rsidR="00933ED2" w:rsidRDefault="00933ED2" w:rsidP="00933ED2">
      <w:pPr>
        <w:spacing w:after="120"/>
        <w:rPr>
          <w:noProof/>
          <w:sz w:val="22"/>
          <w:szCs w:val="22"/>
          <w:lang w:val="en-US" w:eastAsia="en-GB"/>
        </w:rPr>
      </w:pPr>
      <w:r w:rsidRPr="00933ED2">
        <w:rPr>
          <w:noProof/>
          <w:sz w:val="22"/>
          <w:szCs w:val="22"/>
          <w:lang w:val="en-US" w:eastAsia="en-GB"/>
        </w:rPr>
        <w:t xml:space="preserve">Council of Europe: GRECO (2025), </w:t>
      </w:r>
      <w:r w:rsidRPr="00933ED2">
        <w:rPr>
          <w:i/>
          <w:noProof/>
          <w:sz w:val="22"/>
          <w:szCs w:val="22"/>
          <w:lang w:val="en-US" w:eastAsia="en-GB"/>
        </w:rPr>
        <w:t>Addendum to the Second Compliance Report, Fifth Evaluation Round, Spain,</w:t>
      </w:r>
      <w:r w:rsidRPr="00933ED2">
        <w:rPr>
          <w:noProof/>
          <w:sz w:val="22"/>
          <w:szCs w:val="22"/>
          <w:lang w:val="en-US" w:eastAsia="en-GB"/>
        </w:rPr>
        <w:t xml:space="preserve"> </w:t>
      </w:r>
      <w:hyperlink r:id="rId50" w:history="1">
        <w:r w:rsidRPr="00933ED2">
          <w:rPr>
            <w:noProof/>
            <w:sz w:val="22"/>
            <w:szCs w:val="22"/>
            <w:u w:val="single"/>
            <w:lang w:val="en-US" w:eastAsia="en-GB"/>
          </w:rPr>
          <w:t>https://rm.coe.int/grecorc5-2025-17-final-eng-add-to-2nd-compliance-report-spain-public/1680b6ce89</w:t>
        </w:r>
      </w:hyperlink>
    </w:p>
    <w:p w14:paraId="2ECF1445" w14:textId="697F6C3F" w:rsidR="00616CAC" w:rsidRPr="00933ED2" w:rsidRDefault="00616CAC" w:rsidP="00933ED2">
      <w:pPr>
        <w:spacing w:after="120"/>
        <w:rPr>
          <w:noProof/>
          <w:sz w:val="22"/>
          <w:szCs w:val="22"/>
          <w:lang w:val="en-US" w:eastAsia="en-GB"/>
        </w:rPr>
      </w:pPr>
      <w:r w:rsidRPr="00933ED2">
        <w:rPr>
          <w:noProof/>
          <w:sz w:val="22"/>
          <w:szCs w:val="22"/>
          <w:lang w:val="en-US" w:eastAsia="en-GB"/>
        </w:rPr>
        <w:t>Council of Europe: GRECO (2025</w:t>
      </w:r>
      <w:r>
        <w:rPr>
          <w:noProof/>
          <w:sz w:val="22"/>
          <w:szCs w:val="22"/>
          <w:lang w:val="en-US" w:eastAsia="en-GB"/>
        </w:rPr>
        <w:t>a</w:t>
      </w:r>
      <w:r w:rsidRPr="00933ED2">
        <w:rPr>
          <w:noProof/>
          <w:sz w:val="22"/>
          <w:szCs w:val="22"/>
          <w:lang w:val="en-US" w:eastAsia="en-GB"/>
        </w:rPr>
        <w:t>)</w:t>
      </w:r>
      <w:r>
        <w:rPr>
          <w:noProof/>
          <w:sz w:val="22"/>
          <w:szCs w:val="22"/>
          <w:lang w:val="en-US" w:eastAsia="en-GB"/>
        </w:rPr>
        <w:t xml:space="preserve">, </w:t>
      </w:r>
      <w:r w:rsidRPr="00CE0F9E">
        <w:rPr>
          <w:i/>
          <w:iCs/>
          <w:noProof/>
          <w:sz w:val="22"/>
          <w:szCs w:val="22"/>
          <w:lang w:val="en-US" w:eastAsia="en-GB"/>
        </w:rPr>
        <w:t>Second Compliance Report</w:t>
      </w:r>
      <w:r>
        <w:rPr>
          <w:noProof/>
          <w:sz w:val="22"/>
          <w:szCs w:val="22"/>
          <w:lang w:val="en-US" w:eastAsia="en-GB"/>
        </w:rPr>
        <w:t xml:space="preserve">, </w:t>
      </w:r>
      <w:r w:rsidRPr="00933ED2">
        <w:rPr>
          <w:i/>
          <w:noProof/>
          <w:sz w:val="22"/>
          <w:szCs w:val="22"/>
          <w:lang w:val="en-US" w:eastAsia="en-GB"/>
        </w:rPr>
        <w:t>Fifth Evaluation Round, Spain,</w:t>
      </w:r>
      <w:r w:rsidR="00AE655E">
        <w:rPr>
          <w:i/>
          <w:noProof/>
          <w:sz w:val="22"/>
          <w:szCs w:val="22"/>
          <w:lang w:val="en-US" w:eastAsia="en-GB"/>
        </w:rPr>
        <w:t xml:space="preserve"> </w:t>
      </w:r>
      <w:r w:rsidR="00AE655E" w:rsidRPr="00AE655E">
        <w:rPr>
          <w:i/>
          <w:noProof/>
          <w:sz w:val="22"/>
          <w:szCs w:val="22"/>
          <w:lang w:val="en-US" w:eastAsia="en-GB"/>
        </w:rPr>
        <w:t>https://rm.coe.int/grecorc5-2023-8-final-eng-2nd-compliance-report-spain-public/1680b547d8</w:t>
      </w:r>
      <w:r w:rsidR="00AE655E">
        <w:rPr>
          <w:i/>
          <w:noProof/>
          <w:sz w:val="22"/>
          <w:szCs w:val="22"/>
          <w:lang w:val="en-US" w:eastAsia="en-GB"/>
        </w:rPr>
        <w:t>.</w:t>
      </w:r>
    </w:p>
    <w:p w14:paraId="40484BD1" w14:textId="77777777" w:rsidR="00933ED2" w:rsidRPr="00933ED2" w:rsidRDefault="00933ED2" w:rsidP="00933ED2">
      <w:pPr>
        <w:spacing w:after="120"/>
        <w:rPr>
          <w:i/>
          <w:iCs/>
          <w:noProof/>
          <w:sz w:val="22"/>
          <w:szCs w:val="22"/>
          <w:lang w:val="en-US" w:eastAsia="en-GB"/>
        </w:rPr>
      </w:pPr>
      <w:r w:rsidRPr="00933ED2">
        <w:rPr>
          <w:noProof/>
          <w:sz w:val="22"/>
          <w:szCs w:val="22"/>
          <w:lang w:val="en-US" w:eastAsia="en-GB"/>
        </w:rPr>
        <w:t>Council of Europe: Venice Commission (2013),</w:t>
      </w:r>
      <w:r w:rsidRPr="00933ED2">
        <w:rPr>
          <w:i/>
          <w:iCs/>
          <w:noProof/>
          <w:sz w:val="22"/>
          <w:szCs w:val="22"/>
          <w:lang w:val="en-US" w:eastAsia="en-GB"/>
        </w:rPr>
        <w:t xml:space="preserve"> Opinion on the Legislation on Defamation in Italy, adopted by the Venice Commission at its 97th Plenary Session </w:t>
      </w:r>
      <w:r w:rsidRPr="00933ED2">
        <w:rPr>
          <w:noProof/>
          <w:sz w:val="22"/>
          <w:szCs w:val="22"/>
          <w:lang w:val="en-US" w:eastAsia="en-GB"/>
        </w:rPr>
        <w:t>(CDL-AD(2013)038), 9 December 2013.</w:t>
      </w:r>
    </w:p>
    <w:p w14:paraId="30916ED0" w14:textId="6B64CF11" w:rsidR="00933ED2" w:rsidRPr="00933ED2" w:rsidRDefault="00933ED2" w:rsidP="00933ED2">
      <w:pPr>
        <w:spacing w:after="120"/>
        <w:rPr>
          <w:rFonts w:eastAsiaTheme="minorHAnsi"/>
          <w:noProof/>
          <w:sz w:val="22"/>
          <w:szCs w:val="22"/>
          <w:lang w:val="en-US" w:eastAsia="en-US"/>
        </w:rPr>
      </w:pPr>
      <w:r w:rsidRPr="00933ED2">
        <w:rPr>
          <w:rFonts w:eastAsiaTheme="minorHAnsi"/>
          <w:noProof/>
          <w:color w:val="000000"/>
          <w:sz w:val="22"/>
          <w:szCs w:val="22"/>
          <w:lang w:eastAsia="en-US"/>
        </w:rPr>
        <w:t xml:space="preserve">Council of Europe: </w:t>
      </w:r>
      <w:r w:rsidRPr="00933ED2">
        <w:rPr>
          <w:rFonts w:eastAsiaTheme="minorHAnsi"/>
          <w:noProof/>
          <w:sz w:val="22"/>
          <w:szCs w:val="22"/>
          <w:lang w:val="en-US" w:eastAsia="en-US"/>
        </w:rPr>
        <w:t xml:space="preserve">Venice Commission (2025), </w:t>
      </w:r>
      <w:r w:rsidRPr="00933ED2">
        <w:rPr>
          <w:rFonts w:eastAsiaTheme="minorHAnsi"/>
          <w:i/>
          <w:noProof/>
          <w:sz w:val="22"/>
          <w:szCs w:val="22"/>
          <w:lang w:val="en-US" w:eastAsia="en-US"/>
        </w:rPr>
        <w:t>Spain - Opinion on the manner of election of the judicial members of the General Council for the Judiciary</w:t>
      </w:r>
      <w:r w:rsidRPr="00933ED2">
        <w:rPr>
          <w:rFonts w:eastAsiaTheme="minorHAnsi"/>
          <w:noProof/>
          <w:sz w:val="22"/>
          <w:szCs w:val="22"/>
          <w:lang w:val="en-IE" w:eastAsia="en-US"/>
        </w:rPr>
        <w:t xml:space="preserve"> (</w:t>
      </w:r>
      <w:r w:rsidRPr="00933ED2">
        <w:rPr>
          <w:noProof/>
          <w:sz w:val="22"/>
          <w:szCs w:val="22"/>
          <w:lang w:val="en-IE" w:eastAsia="fr-FR"/>
        </w:rPr>
        <w:t xml:space="preserve">CDL-AD(2025)038-e), 13 October 2025, </w:t>
      </w:r>
      <w:hyperlink r:id="rId51" w:history="1">
        <w:r w:rsidRPr="00933ED2">
          <w:rPr>
            <w:noProof/>
            <w:color w:val="0563C1" w:themeColor="hyperlink"/>
            <w:sz w:val="22"/>
            <w:szCs w:val="22"/>
            <w:u w:val="single"/>
            <w:lang w:val="en-IE" w:eastAsia="fr-FR"/>
          </w:rPr>
          <w:t>https://www.coe.int/en/web/venice-commission/-/cdl-ad-2025-038-e</w:t>
        </w:r>
      </w:hyperlink>
      <w:r w:rsidR="00F046AC">
        <w:rPr>
          <w:noProof/>
        </w:rPr>
        <w:t>.</w:t>
      </w:r>
    </w:p>
    <w:p w14:paraId="5654EBE4" w14:textId="77777777" w:rsidR="00933ED2" w:rsidRPr="00933ED2" w:rsidRDefault="00933ED2" w:rsidP="00933ED2">
      <w:pPr>
        <w:spacing w:after="120"/>
        <w:rPr>
          <w:rFonts w:eastAsiaTheme="minorHAnsi"/>
          <w:noProof/>
          <w:sz w:val="22"/>
          <w:szCs w:val="22"/>
          <w:lang w:val="en-US" w:eastAsia="en-US"/>
        </w:rPr>
      </w:pPr>
      <w:r w:rsidRPr="00933ED2">
        <w:rPr>
          <w:rFonts w:eastAsiaTheme="minorHAnsi"/>
          <w:noProof/>
          <w:sz w:val="22"/>
          <w:szCs w:val="22"/>
          <w:lang w:val="en-US" w:eastAsia="en-US"/>
        </w:rPr>
        <w:t xml:space="preserve">Council of Europe, </w:t>
      </w:r>
      <w:r w:rsidRPr="00933ED2">
        <w:rPr>
          <w:rFonts w:eastAsiaTheme="minorHAnsi"/>
          <w:i/>
          <w:noProof/>
          <w:sz w:val="22"/>
          <w:szCs w:val="22"/>
          <w:lang w:val="en-US" w:eastAsia="en-US"/>
        </w:rPr>
        <w:t xml:space="preserve">Platform to promote the protection of journalism and safety of journalists – Spain, </w:t>
      </w:r>
      <w:hyperlink r:id="rId52" w:anchor="search" w:history="1">
        <w:r w:rsidRPr="00933ED2">
          <w:rPr>
            <w:rFonts w:eastAsiaTheme="minorHAnsi"/>
            <w:noProof/>
            <w:color w:val="0563C1" w:themeColor="hyperlink"/>
            <w:sz w:val="22"/>
            <w:szCs w:val="22"/>
            <w:u w:val="single"/>
            <w:lang w:val="en-US" w:eastAsia="en-US"/>
          </w:rPr>
          <w:t>Alerts | Safety of journalists platform</w:t>
        </w:r>
      </w:hyperlink>
      <w:r w:rsidRPr="00933ED2">
        <w:rPr>
          <w:rFonts w:eastAsiaTheme="minorHAnsi"/>
          <w:noProof/>
          <w:sz w:val="22"/>
          <w:szCs w:val="22"/>
          <w:lang w:val="en-US" w:eastAsia="en-US"/>
        </w:rPr>
        <w:t>.</w:t>
      </w:r>
    </w:p>
    <w:p w14:paraId="12EA6ADD" w14:textId="3C29F4AF" w:rsidR="00933ED2" w:rsidRPr="00933ED2" w:rsidRDefault="00933ED2" w:rsidP="00933ED2">
      <w:pPr>
        <w:spacing w:after="120"/>
        <w:rPr>
          <w:i/>
          <w:noProof/>
          <w:sz w:val="22"/>
          <w:szCs w:val="22"/>
          <w:lang w:val="en-US" w:eastAsia="en-GB"/>
        </w:rPr>
      </w:pPr>
      <w:r w:rsidRPr="00933ED2">
        <w:rPr>
          <w:noProof/>
          <w:sz w:val="22"/>
          <w:szCs w:val="22"/>
          <w:lang w:val="en-US" w:eastAsia="en-GB"/>
        </w:rPr>
        <w:t>Court of Auditors (2025),</w:t>
      </w:r>
      <w:r w:rsidRPr="00933ED2">
        <w:rPr>
          <w:i/>
          <w:noProof/>
          <w:sz w:val="22"/>
          <w:szCs w:val="22"/>
          <w:lang w:val="en-US" w:eastAsia="en-GB"/>
        </w:rPr>
        <w:t xml:space="preserve"> Compliance Audit Report: The Principle of Transparency for Political Parties,</w:t>
      </w:r>
      <w:r w:rsidR="00D25379">
        <w:rPr>
          <w:i/>
          <w:noProof/>
          <w:sz w:val="22"/>
          <w:szCs w:val="22"/>
          <w:lang w:val="en-US" w:eastAsia="en-GB"/>
        </w:rPr>
        <w:t xml:space="preserve"> </w:t>
      </w:r>
      <w:r w:rsidR="00D25379">
        <w:rPr>
          <w:iCs/>
          <w:noProof/>
          <w:sz w:val="22"/>
          <w:szCs w:val="22"/>
          <w:lang w:val="en-US" w:eastAsia="en-GB"/>
        </w:rPr>
        <w:t>24 June 2025,</w:t>
      </w:r>
      <w:r w:rsidRPr="00933ED2">
        <w:rPr>
          <w:i/>
          <w:noProof/>
          <w:sz w:val="22"/>
          <w:szCs w:val="22"/>
          <w:lang w:val="en-US" w:eastAsia="en-GB"/>
        </w:rPr>
        <w:t xml:space="preserve"> </w:t>
      </w:r>
      <w:hyperlink r:id="rId53" w:history="1">
        <w:r w:rsidRPr="00933ED2">
          <w:rPr>
            <w:noProof/>
            <w:sz w:val="22"/>
            <w:szCs w:val="22"/>
            <w:u w:val="single"/>
            <w:lang w:val="en-US" w:eastAsia="en-GB"/>
          </w:rPr>
          <w:t>https://www.boe.es/boe/dias/2025/08/16/pdfs/BOE-A-2025-16946.pdf</w:t>
        </w:r>
      </w:hyperlink>
      <w:r w:rsidRPr="00933ED2">
        <w:rPr>
          <w:noProof/>
          <w:sz w:val="22"/>
          <w:szCs w:val="22"/>
          <w:lang w:val="en-US" w:eastAsia="en-GB"/>
        </w:rPr>
        <w:t>.</w:t>
      </w:r>
      <w:r w:rsidRPr="00933ED2">
        <w:rPr>
          <w:i/>
          <w:noProof/>
          <w:sz w:val="22"/>
          <w:szCs w:val="22"/>
          <w:lang w:val="en-US" w:eastAsia="en-GB"/>
        </w:rPr>
        <w:t xml:space="preserve"> </w:t>
      </w:r>
    </w:p>
    <w:p w14:paraId="46125C61" w14:textId="798B411B"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EPPO (2026), </w:t>
      </w:r>
      <w:r w:rsidRPr="00933ED2">
        <w:rPr>
          <w:i/>
          <w:noProof/>
          <w:sz w:val="22"/>
          <w:szCs w:val="22"/>
          <w:lang w:val="en-US" w:eastAsia="en-GB"/>
        </w:rPr>
        <w:t>Annual Report,</w:t>
      </w:r>
      <w:r w:rsidRPr="00933ED2">
        <w:rPr>
          <w:noProof/>
          <w:sz w:val="22"/>
          <w:szCs w:val="22"/>
          <w:lang w:val="en-US" w:eastAsia="en-GB"/>
        </w:rPr>
        <w:t xml:space="preserve"> </w:t>
      </w:r>
      <w:hyperlink r:id="rId54" w:history="1">
        <w:r w:rsidRPr="00933ED2">
          <w:rPr>
            <w:noProof/>
            <w:color w:val="0563C1" w:themeColor="hyperlink"/>
            <w:sz w:val="22"/>
            <w:szCs w:val="22"/>
            <w:u w:val="single"/>
            <w:lang w:val="en-US" w:eastAsia="en-GB"/>
          </w:rPr>
          <w:t>https://www.eppo.europa.eu/assets/annual-report-2025/pdfs/EPPO_Annual_Report_2025_en.pdf</w:t>
        </w:r>
      </w:hyperlink>
      <w:r w:rsidR="00F046AC">
        <w:rPr>
          <w:noProof/>
        </w:rPr>
        <w:t>.</w:t>
      </w:r>
    </w:p>
    <w:p w14:paraId="496EC2A4" w14:textId="77777777"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European Civic Forum (2026), </w:t>
      </w:r>
      <w:r w:rsidRPr="00933ED2">
        <w:rPr>
          <w:i/>
          <w:iCs/>
          <w:noProof/>
          <w:sz w:val="22"/>
          <w:szCs w:val="22"/>
          <w:lang w:val="en-US" w:eastAsia="en-GB"/>
        </w:rPr>
        <w:t>ECF Rule of Law Contribution 2026</w:t>
      </w:r>
      <w:r w:rsidRPr="00933ED2">
        <w:rPr>
          <w:noProof/>
          <w:sz w:val="22"/>
          <w:szCs w:val="22"/>
          <w:lang w:val="en-US" w:eastAsia="en-GB"/>
        </w:rPr>
        <w:t>, March 2026.</w:t>
      </w:r>
    </w:p>
    <w:p w14:paraId="392DD968" w14:textId="77777777"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European Commission for the Efficiency of Justice (2026), </w:t>
      </w:r>
      <w:r w:rsidRPr="00933ED2">
        <w:rPr>
          <w:i/>
          <w:iCs/>
          <w:noProof/>
          <w:sz w:val="22"/>
          <w:szCs w:val="22"/>
          <w:lang w:val="en-US" w:eastAsia="en-GB"/>
        </w:rPr>
        <w:t>Study on the functioning of judicial systems in the EU Member States, Facts and figures from the CEPEJ questionnaires 2024 to 2024.</w:t>
      </w:r>
    </w:p>
    <w:p w14:paraId="511EE555" w14:textId="759BB9FE" w:rsidR="00933ED2" w:rsidRPr="00933ED2" w:rsidRDefault="00933ED2" w:rsidP="00933ED2">
      <w:pPr>
        <w:spacing w:after="120"/>
        <w:rPr>
          <w:noProof/>
          <w:sz w:val="22"/>
          <w:szCs w:val="22"/>
          <w:lang w:val="en-IE" w:eastAsia="en-IE"/>
        </w:rPr>
      </w:pPr>
      <w:r w:rsidRPr="00933ED2">
        <w:rPr>
          <w:noProof/>
          <w:sz w:val="22"/>
          <w:szCs w:val="22"/>
          <w:lang w:val="en-IE" w:eastAsia="en-IE"/>
        </w:rPr>
        <w:t xml:space="preserve">European Commission (2024), 2024 Rule of Law Report, </w:t>
      </w:r>
      <w:r w:rsidRPr="00933ED2">
        <w:rPr>
          <w:i/>
          <w:iCs/>
          <w:noProof/>
          <w:sz w:val="22"/>
          <w:szCs w:val="22"/>
          <w:lang w:val="en-IE" w:eastAsia="en-IE"/>
        </w:rPr>
        <w:t xml:space="preserve">Country Chapter on the rule of law situation in Spain, </w:t>
      </w:r>
      <w:hyperlink r:id="rId55" w:history="1">
        <w:r w:rsidRPr="00933ED2">
          <w:rPr>
            <w:i/>
            <w:iCs/>
            <w:noProof/>
            <w:color w:val="0563C1" w:themeColor="hyperlink"/>
            <w:sz w:val="22"/>
            <w:szCs w:val="22"/>
            <w:u w:val="single"/>
            <w:lang w:val="en-IE" w:eastAsia="en-IE"/>
          </w:rPr>
          <w:t>https://commission.europa.eu/document/download/2bd09a6f-ef56-494a-8303-e0de808ee981_en?filename=23_1_58063_coun_chap_spain_en_0.pdf</w:t>
        </w:r>
      </w:hyperlink>
      <w:r w:rsidR="00702043" w:rsidRPr="00A86FA9">
        <w:rPr>
          <w:noProof/>
          <w:sz w:val="22"/>
          <w:szCs w:val="22"/>
          <w:lang w:val="en-US" w:eastAsia="en-GB"/>
        </w:rPr>
        <w:t>.</w:t>
      </w:r>
    </w:p>
    <w:p w14:paraId="2950C2C6" w14:textId="63645D94" w:rsidR="00933ED2" w:rsidRPr="00933ED2" w:rsidRDefault="00933ED2" w:rsidP="00933ED2">
      <w:pPr>
        <w:spacing w:after="120"/>
        <w:rPr>
          <w:rFonts w:eastAsiaTheme="minorHAnsi" w:cstheme="minorBidi"/>
          <w:noProof/>
          <w:szCs w:val="22"/>
          <w:lang w:val="en-US" w:eastAsia="en-US"/>
        </w:rPr>
      </w:pPr>
      <w:r w:rsidRPr="00933ED2">
        <w:rPr>
          <w:noProof/>
          <w:sz w:val="22"/>
          <w:szCs w:val="22"/>
          <w:lang w:val="en-IE" w:eastAsia="en-IE"/>
        </w:rPr>
        <w:t xml:space="preserve">European Commission (2025), 2025 Rule of Law Report, </w:t>
      </w:r>
      <w:r w:rsidRPr="00933ED2">
        <w:rPr>
          <w:i/>
          <w:iCs/>
          <w:noProof/>
          <w:sz w:val="22"/>
          <w:szCs w:val="22"/>
          <w:lang w:val="en-IE" w:eastAsia="en-IE"/>
        </w:rPr>
        <w:t xml:space="preserve">Country Chapter on the rule of law situation in Spain, </w:t>
      </w:r>
      <w:hyperlink r:id="rId56" w:history="1">
        <w:r w:rsidRPr="00933ED2">
          <w:rPr>
            <w:i/>
            <w:iCs/>
            <w:noProof/>
            <w:color w:val="0563C1" w:themeColor="hyperlink"/>
            <w:sz w:val="22"/>
            <w:szCs w:val="22"/>
            <w:u w:val="single"/>
            <w:lang w:val="en-IE" w:eastAsia="en-IE"/>
          </w:rPr>
          <w:t>https://commission.europa.eu/document/download/3457bf3b-e321-49af-80fd-de0617ef5b28_en?filename=13_1_63945_coun_chap_spain_en.pdf</w:t>
        </w:r>
      </w:hyperlink>
      <w:r w:rsidR="00702043" w:rsidRPr="00A86FA9">
        <w:rPr>
          <w:noProof/>
          <w:sz w:val="22"/>
          <w:szCs w:val="22"/>
          <w:lang w:val="en-US" w:eastAsia="en-GB"/>
        </w:rPr>
        <w:t>.</w:t>
      </w:r>
    </w:p>
    <w:p w14:paraId="77BF943C" w14:textId="26ED0D5E" w:rsidR="0089158E" w:rsidRPr="0082021F" w:rsidRDefault="0089158E" w:rsidP="0089158E">
      <w:pPr>
        <w:spacing w:after="120"/>
        <w:rPr>
          <w:noProof/>
          <w:sz w:val="22"/>
          <w:szCs w:val="22"/>
          <w:lang w:val="en-IE" w:eastAsia="en-GB"/>
        </w:rPr>
      </w:pPr>
      <w:r w:rsidRPr="0082021F">
        <w:rPr>
          <w:noProof/>
          <w:sz w:val="22"/>
          <w:szCs w:val="22"/>
          <w:lang w:val="en-IE" w:eastAsia="en-GB"/>
        </w:rPr>
        <w:t>European Commission (2026</w:t>
      </w:r>
      <w:r>
        <w:rPr>
          <w:noProof/>
          <w:sz w:val="22"/>
          <w:szCs w:val="22"/>
          <w:lang w:val="en-IE" w:eastAsia="en-GB"/>
        </w:rPr>
        <w:t>a</w:t>
      </w:r>
      <w:r w:rsidRPr="0082021F">
        <w:rPr>
          <w:noProof/>
          <w:sz w:val="22"/>
          <w:szCs w:val="22"/>
          <w:lang w:val="en-IE" w:eastAsia="en-GB"/>
        </w:rPr>
        <w:t xml:space="preserve">), </w:t>
      </w:r>
      <w:r w:rsidRPr="0082021F">
        <w:rPr>
          <w:i/>
          <w:iCs/>
          <w:noProof/>
          <w:sz w:val="22"/>
          <w:szCs w:val="22"/>
          <w:lang w:eastAsia="en-GB"/>
        </w:rPr>
        <w:t>Recommendation for a Council Recommendation on the economic, social, employment, structural and budgetary policies of Spain</w:t>
      </w:r>
      <w:r>
        <w:rPr>
          <w:i/>
          <w:iCs/>
          <w:noProof/>
          <w:sz w:val="22"/>
          <w:szCs w:val="22"/>
          <w:lang w:eastAsia="en-GB"/>
        </w:rPr>
        <w:t xml:space="preserve">, </w:t>
      </w:r>
      <w:hyperlink r:id="rId57" w:history="1">
        <w:r w:rsidRPr="008F4757">
          <w:rPr>
            <w:rStyle w:val="Hyperlink"/>
            <w:i/>
            <w:iCs/>
            <w:noProof/>
            <w:sz w:val="22"/>
            <w:szCs w:val="22"/>
            <w:lang w:eastAsia="en-GB"/>
          </w:rPr>
          <w:t>https://reforms-investments.ec.europa.eu/document/download/180b587b-489b-4339-97bb-1f6ce8ad4df2_en?filename=ES-COM_2026_209_1_EN_ACT_part1_v4.pdf</w:t>
        </w:r>
      </w:hyperlink>
      <w:r w:rsidR="00702043" w:rsidRPr="00A86FA9">
        <w:rPr>
          <w:noProof/>
          <w:sz w:val="22"/>
          <w:szCs w:val="22"/>
          <w:lang w:val="en-US" w:eastAsia="en-GB"/>
        </w:rPr>
        <w:t>.</w:t>
      </w:r>
      <w:r>
        <w:rPr>
          <w:i/>
          <w:iCs/>
          <w:noProof/>
          <w:sz w:val="22"/>
          <w:szCs w:val="22"/>
          <w:lang w:eastAsia="en-GB"/>
        </w:rPr>
        <w:t xml:space="preserve"> </w:t>
      </w:r>
    </w:p>
    <w:p w14:paraId="1A4CF80E" w14:textId="45767D9B" w:rsidR="00933ED2" w:rsidRDefault="00933ED2" w:rsidP="00933ED2">
      <w:pPr>
        <w:spacing w:after="120"/>
        <w:rPr>
          <w:i/>
          <w:iCs/>
          <w:noProof/>
          <w:sz w:val="22"/>
          <w:szCs w:val="22"/>
          <w:lang w:val="en-IE" w:eastAsia="en-GB"/>
        </w:rPr>
      </w:pPr>
      <w:r w:rsidRPr="00933ED2">
        <w:rPr>
          <w:noProof/>
          <w:sz w:val="22"/>
          <w:szCs w:val="22"/>
          <w:lang w:val="en-IE" w:eastAsia="en-GB"/>
        </w:rPr>
        <w:t>European Commission (2026</w:t>
      </w:r>
      <w:r w:rsidR="0089158E">
        <w:rPr>
          <w:noProof/>
          <w:sz w:val="22"/>
          <w:szCs w:val="22"/>
          <w:lang w:val="en-IE" w:eastAsia="en-GB"/>
        </w:rPr>
        <w:t>b</w:t>
      </w:r>
      <w:r w:rsidRPr="00933ED2">
        <w:rPr>
          <w:noProof/>
          <w:sz w:val="22"/>
          <w:szCs w:val="22"/>
          <w:lang w:val="en-IE" w:eastAsia="en-GB"/>
        </w:rPr>
        <w:t xml:space="preserve">), </w:t>
      </w:r>
      <w:r w:rsidR="005E579F" w:rsidRPr="006A1FAE">
        <w:rPr>
          <w:i/>
          <w:iCs/>
          <w:noProof/>
          <w:sz w:val="22"/>
          <w:szCs w:val="22"/>
          <w:lang w:val="en-IE" w:eastAsia="en-GB"/>
        </w:rPr>
        <w:t>2026</w:t>
      </w:r>
      <w:r w:rsidR="005E579F">
        <w:rPr>
          <w:noProof/>
          <w:sz w:val="22"/>
          <w:szCs w:val="22"/>
          <w:lang w:val="en-IE" w:eastAsia="en-GB"/>
        </w:rPr>
        <w:t xml:space="preserve"> </w:t>
      </w:r>
      <w:r w:rsidRPr="00933ED2">
        <w:rPr>
          <w:i/>
          <w:iCs/>
          <w:noProof/>
          <w:sz w:val="22"/>
          <w:szCs w:val="22"/>
          <w:lang w:val="en-IE" w:eastAsia="en-GB"/>
        </w:rPr>
        <w:t>EU Justice Scoreboard</w:t>
      </w:r>
      <w:r w:rsidR="008F4757">
        <w:rPr>
          <w:i/>
          <w:iCs/>
          <w:noProof/>
          <w:sz w:val="22"/>
          <w:szCs w:val="22"/>
          <w:lang w:val="en-IE" w:eastAsia="en-GB"/>
        </w:rPr>
        <w:t>,</w:t>
      </w:r>
      <w:r w:rsidR="0089158E">
        <w:rPr>
          <w:i/>
          <w:iCs/>
          <w:noProof/>
          <w:sz w:val="22"/>
          <w:szCs w:val="22"/>
          <w:lang w:val="en-IE" w:eastAsia="en-GB"/>
        </w:rPr>
        <w:t xml:space="preserve"> </w:t>
      </w:r>
      <w:hyperlink r:id="rId58" w:history="1">
        <w:r w:rsidR="008F4757" w:rsidRPr="00F964E7">
          <w:rPr>
            <w:rStyle w:val="Hyperlink"/>
            <w:i/>
            <w:iCs/>
            <w:noProof/>
            <w:sz w:val="22"/>
            <w:szCs w:val="22"/>
            <w:lang w:val="en-IE" w:eastAsia="en-GB"/>
          </w:rPr>
          <w:t>https://commission.europa.eu/document/download/d1367f58-9eed-4ebd-8eb3-68646b7c7ddc_en?filename=2026_eu_justice_scoreboard.PDF</w:t>
        </w:r>
      </w:hyperlink>
      <w:r w:rsidR="00702043" w:rsidRPr="00A86FA9">
        <w:rPr>
          <w:noProof/>
          <w:sz w:val="22"/>
          <w:szCs w:val="22"/>
          <w:lang w:val="en-US" w:eastAsia="en-GB"/>
        </w:rPr>
        <w:t>.</w:t>
      </w:r>
      <w:r w:rsidR="008F4757">
        <w:rPr>
          <w:i/>
          <w:iCs/>
          <w:noProof/>
          <w:sz w:val="22"/>
          <w:szCs w:val="22"/>
          <w:lang w:val="en-IE" w:eastAsia="en-GB"/>
        </w:rPr>
        <w:t xml:space="preserve"> </w:t>
      </w:r>
    </w:p>
    <w:p w14:paraId="15D4E790" w14:textId="5FB50D95"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European Court of Human Rights, judgment of 22 April 2014, </w:t>
      </w:r>
      <w:r w:rsidRPr="00933ED2">
        <w:rPr>
          <w:rFonts w:eastAsiaTheme="minorHAnsi"/>
          <w:noProof/>
          <w:sz w:val="22"/>
          <w:szCs w:val="22"/>
          <w:lang w:val="en-US" w:eastAsia="en-US"/>
        </w:rPr>
        <w:t xml:space="preserve">6528/11, </w:t>
      </w:r>
      <w:r w:rsidRPr="00933ED2">
        <w:rPr>
          <w:rFonts w:eastAsiaTheme="minorHAnsi"/>
          <w:i/>
          <w:noProof/>
          <w:sz w:val="22"/>
          <w:szCs w:val="22"/>
          <w:lang w:val="en-US" w:eastAsia="en-US"/>
        </w:rPr>
        <w:t xml:space="preserve">A.C. and Others v. Spain, </w:t>
      </w:r>
      <w:hyperlink r:id="rId59" w:anchor="{%22itemid%22:[%22001-142467%22]}" w:history="1">
        <w:r w:rsidRPr="00933ED2">
          <w:rPr>
            <w:rFonts w:eastAsiaTheme="minorHAnsi"/>
            <w:i/>
            <w:noProof/>
            <w:color w:val="0563C1" w:themeColor="hyperlink"/>
            <w:sz w:val="22"/>
            <w:szCs w:val="22"/>
            <w:u w:val="single"/>
            <w:lang w:val="en-US" w:eastAsia="en-US"/>
          </w:rPr>
          <w:t>https://hudoc.echr.coe.int/eng#{%22itemid%22:[%22001-142467%22]}</w:t>
        </w:r>
      </w:hyperlink>
      <w:r w:rsidR="00702043" w:rsidRPr="00A86FA9">
        <w:rPr>
          <w:noProof/>
          <w:sz w:val="22"/>
          <w:szCs w:val="22"/>
          <w:lang w:val="en-US" w:eastAsia="en-GB"/>
        </w:rPr>
        <w:t>.</w:t>
      </w:r>
    </w:p>
    <w:p w14:paraId="23C434D0" w14:textId="77777777" w:rsidR="00933ED2" w:rsidRPr="00933ED2" w:rsidRDefault="00933ED2" w:rsidP="00933ED2">
      <w:pPr>
        <w:spacing w:after="120"/>
        <w:rPr>
          <w:noProof/>
          <w:sz w:val="22"/>
          <w:szCs w:val="22"/>
          <w:lang w:val="en-US" w:eastAsia="en-GB"/>
        </w:rPr>
      </w:pPr>
      <w:r w:rsidRPr="00933ED2">
        <w:rPr>
          <w:noProof/>
          <w:sz w:val="22"/>
          <w:szCs w:val="22"/>
          <w:lang w:val="en-IE" w:eastAsia="en-GB"/>
        </w:rPr>
        <w:t xml:space="preserve">European Implementation Network (2026), </w:t>
      </w:r>
      <w:r w:rsidRPr="00933ED2">
        <w:rPr>
          <w:i/>
          <w:iCs/>
          <w:noProof/>
          <w:sz w:val="22"/>
          <w:szCs w:val="22"/>
          <w:lang w:val="en-US" w:eastAsia="en-GB"/>
        </w:rPr>
        <w:t>Input from the European Implementation Network for the 2026 Rule of Law Report</w:t>
      </w:r>
      <w:r w:rsidRPr="00933ED2">
        <w:rPr>
          <w:noProof/>
          <w:sz w:val="22"/>
          <w:szCs w:val="22"/>
          <w:lang w:val="en-US" w:eastAsia="en-GB"/>
        </w:rPr>
        <w:t>.</w:t>
      </w:r>
    </w:p>
    <w:p w14:paraId="392ADD90" w14:textId="77777777" w:rsidR="00933ED2" w:rsidRPr="00933ED2" w:rsidRDefault="00933ED2" w:rsidP="00933ED2">
      <w:pPr>
        <w:spacing w:after="120"/>
        <w:rPr>
          <w:rFonts w:eastAsiaTheme="minorHAnsi"/>
          <w:noProof/>
          <w:sz w:val="22"/>
          <w:szCs w:val="22"/>
          <w:lang w:val="en-US" w:eastAsia="en-US"/>
        </w:rPr>
      </w:pPr>
      <w:r w:rsidRPr="00933ED2">
        <w:rPr>
          <w:rFonts w:eastAsiaTheme="minorHAnsi"/>
          <w:noProof/>
          <w:sz w:val="22"/>
          <w:szCs w:val="22"/>
          <w:lang w:val="en-US" w:eastAsia="en-US"/>
        </w:rPr>
        <w:t xml:space="preserve">European Centre for Press and Media Freedom, </w:t>
      </w:r>
      <w:r w:rsidRPr="00933ED2">
        <w:rPr>
          <w:rFonts w:eastAsiaTheme="minorHAnsi"/>
          <w:i/>
          <w:noProof/>
          <w:sz w:val="22"/>
          <w:szCs w:val="22"/>
          <w:lang w:val="en-US" w:eastAsia="en-US"/>
        </w:rPr>
        <w:t>Media Freedom Rapid Response Mechanism – Spain (2025)</w:t>
      </w:r>
      <w:r w:rsidRPr="00933ED2">
        <w:rPr>
          <w:rFonts w:eastAsiaTheme="minorHAnsi"/>
          <w:noProof/>
          <w:sz w:val="22"/>
          <w:szCs w:val="22"/>
          <w:lang w:val="en-US" w:eastAsia="en-US"/>
        </w:rPr>
        <w:t xml:space="preserve">, </w:t>
      </w:r>
      <w:hyperlink r:id="rId60" w:history="1">
        <w:r w:rsidRPr="00933ED2">
          <w:rPr>
            <w:rFonts w:eastAsiaTheme="minorHAnsi"/>
            <w:noProof/>
            <w:color w:val="0563C1" w:themeColor="hyperlink"/>
            <w:sz w:val="22"/>
            <w:szCs w:val="22"/>
            <w:u w:val="single"/>
            <w:lang w:val="en-US" w:eastAsia="en-US"/>
          </w:rPr>
          <w:t>Press Freedom Violat</w:t>
        </w:r>
        <w:bookmarkStart w:id="29" w:name="_Hlt231380434"/>
        <w:bookmarkStart w:id="30" w:name="_Hlt231380435"/>
        <w:bookmarkEnd w:id="29"/>
        <w:bookmarkEnd w:id="30"/>
        <w:r w:rsidRPr="00933ED2">
          <w:rPr>
            <w:rFonts w:eastAsiaTheme="minorHAnsi"/>
            <w:noProof/>
            <w:color w:val="0563C1" w:themeColor="hyperlink"/>
            <w:sz w:val="22"/>
            <w:szCs w:val="22"/>
            <w:u w:val="single"/>
            <w:lang w:val="en-US" w:eastAsia="en-US"/>
          </w:rPr>
          <w:t>ions Monitoring</w:t>
        </w:r>
      </w:hyperlink>
      <w:r w:rsidRPr="00933ED2">
        <w:rPr>
          <w:rFonts w:eastAsiaTheme="minorHAnsi"/>
          <w:noProof/>
          <w:sz w:val="22"/>
          <w:szCs w:val="22"/>
          <w:lang w:val="en-US" w:eastAsia="en-US"/>
        </w:rPr>
        <w:t>.</w:t>
      </w:r>
    </w:p>
    <w:p w14:paraId="3C82BA86" w14:textId="77777777" w:rsidR="00933ED2" w:rsidRPr="00933ED2" w:rsidRDefault="00933ED2" w:rsidP="00933ED2">
      <w:pPr>
        <w:spacing w:after="120"/>
        <w:rPr>
          <w:noProof/>
          <w:sz w:val="22"/>
          <w:szCs w:val="22"/>
          <w:lang w:val="en-IE" w:eastAsia="en-GB"/>
        </w:rPr>
      </w:pPr>
      <w:r w:rsidRPr="00933ED2">
        <w:rPr>
          <w:noProof/>
          <w:sz w:val="22"/>
          <w:szCs w:val="22"/>
          <w:lang w:val="en-IE" w:eastAsia="en-GB"/>
        </w:rPr>
        <w:t xml:space="preserve">Foundation Hay Derecho (2025), </w:t>
      </w:r>
      <w:r w:rsidRPr="00933ED2">
        <w:rPr>
          <w:i/>
          <w:noProof/>
          <w:sz w:val="22"/>
          <w:szCs w:val="22"/>
          <w:lang w:val="en-IE" w:eastAsia="en-GB"/>
        </w:rPr>
        <w:t>Input from Foundation Hay Derecho for the 2025 Rule of Law Report.</w:t>
      </w:r>
    </w:p>
    <w:p w14:paraId="7E3A7F04" w14:textId="77777777" w:rsidR="00933ED2" w:rsidRPr="00933ED2" w:rsidRDefault="00933ED2" w:rsidP="00933ED2">
      <w:pPr>
        <w:spacing w:after="120"/>
        <w:rPr>
          <w:i/>
          <w:noProof/>
          <w:sz w:val="22"/>
          <w:szCs w:val="22"/>
          <w:lang w:eastAsia="en-GB"/>
        </w:rPr>
      </w:pPr>
      <w:r w:rsidRPr="00933ED2">
        <w:rPr>
          <w:noProof/>
          <w:sz w:val="22"/>
          <w:szCs w:val="22"/>
          <w:lang w:val="en-US" w:eastAsia="en-GB"/>
        </w:rPr>
        <w:t xml:space="preserve">Foundation Hay Derecho (2026), </w:t>
      </w:r>
      <w:r w:rsidRPr="00933ED2">
        <w:rPr>
          <w:i/>
          <w:noProof/>
          <w:sz w:val="22"/>
          <w:szCs w:val="22"/>
          <w:lang w:val="en-US" w:eastAsia="en-GB"/>
        </w:rPr>
        <w:t>Input from Foundation Hay Derecho for the 2026 Rule of Law Report.</w:t>
      </w:r>
    </w:p>
    <w:p w14:paraId="2527C294" w14:textId="77777777" w:rsidR="00933ED2" w:rsidRPr="00933ED2" w:rsidRDefault="00933ED2" w:rsidP="00933ED2">
      <w:pPr>
        <w:spacing w:after="120"/>
        <w:rPr>
          <w:i/>
          <w:noProof/>
          <w:sz w:val="22"/>
          <w:szCs w:val="22"/>
          <w:lang w:val="en-US" w:eastAsia="en-GB"/>
        </w:rPr>
      </w:pPr>
      <w:r w:rsidRPr="00933ED2">
        <w:rPr>
          <w:noProof/>
          <w:sz w:val="22"/>
          <w:szCs w:val="22"/>
          <w:lang w:val="en-US" w:eastAsia="en-GB"/>
        </w:rPr>
        <w:t xml:space="preserve">Foundation Hay Derecho (2026a), </w:t>
      </w:r>
      <w:r w:rsidRPr="00933ED2">
        <w:rPr>
          <w:i/>
          <w:noProof/>
          <w:sz w:val="22"/>
          <w:szCs w:val="22"/>
          <w:lang w:val="en-US" w:eastAsia="en-GB"/>
        </w:rPr>
        <w:t>2026 Rule of Law Report, Targeted stakeholder consultation (English version).</w:t>
      </w:r>
    </w:p>
    <w:p w14:paraId="761BCA14" w14:textId="16CC0098" w:rsidR="004E6C39" w:rsidRPr="006A1FAE" w:rsidRDefault="004E6C39" w:rsidP="00933ED2">
      <w:pPr>
        <w:spacing w:after="120"/>
        <w:rPr>
          <w:iCs/>
          <w:noProof/>
          <w:sz w:val="22"/>
          <w:szCs w:val="22"/>
          <w:lang w:val="en-US" w:eastAsia="en-GB"/>
        </w:rPr>
      </w:pPr>
      <w:r>
        <w:rPr>
          <w:iCs/>
          <w:noProof/>
          <w:sz w:val="22"/>
          <w:szCs w:val="22"/>
          <w:lang w:val="en-US" w:eastAsia="en-GB"/>
        </w:rPr>
        <w:t xml:space="preserve">Fundamental Rights Agency (2026), </w:t>
      </w:r>
      <w:r w:rsidRPr="006A1FAE">
        <w:rPr>
          <w:i/>
          <w:noProof/>
          <w:sz w:val="22"/>
          <w:szCs w:val="22"/>
          <w:lang w:val="en-US" w:eastAsia="en-GB"/>
        </w:rPr>
        <w:t>Civic space in the EU in 2025, Spain</w:t>
      </w:r>
      <w:r>
        <w:rPr>
          <w:iCs/>
          <w:noProof/>
          <w:sz w:val="22"/>
          <w:szCs w:val="22"/>
          <w:lang w:val="en-US" w:eastAsia="en-GB"/>
        </w:rPr>
        <w:t>.</w:t>
      </w:r>
    </w:p>
    <w:p w14:paraId="016060A4" w14:textId="6DD8438B" w:rsidR="00933ED2" w:rsidRPr="00933ED2" w:rsidRDefault="00933ED2" w:rsidP="00933ED2">
      <w:pPr>
        <w:spacing w:after="120"/>
        <w:rPr>
          <w:noProof/>
          <w:sz w:val="22"/>
          <w:szCs w:val="22"/>
          <w:lang w:val="en-US" w:eastAsia="en-GB"/>
        </w:rPr>
      </w:pPr>
      <w:r w:rsidRPr="00933ED2">
        <w:rPr>
          <w:noProof/>
          <w:sz w:val="22"/>
          <w:szCs w:val="22"/>
          <w:lang w:val="en-US" w:eastAsia="en-GB"/>
        </w:rPr>
        <w:t>General Council of Spanish Lawyers (2026), The legal profession calls for respect for judicial decisions and urges the drafting of a new protocol in coordination with the Public Prosecutor’s Office (</w:t>
      </w:r>
      <w:r w:rsidRPr="00933ED2">
        <w:rPr>
          <w:i/>
          <w:iCs/>
          <w:noProof/>
          <w:sz w:val="22"/>
          <w:szCs w:val="22"/>
          <w:lang w:val="en-US" w:eastAsia="en-GB"/>
        </w:rPr>
        <w:t>La Abogacía pide respeto a las decisiones judiciales y urge a confeccionar un nuevo protocolo de conformidad con la Fiscalía</w:t>
      </w:r>
      <w:r w:rsidRPr="00933ED2">
        <w:rPr>
          <w:noProof/>
          <w:sz w:val="22"/>
          <w:szCs w:val="22"/>
          <w:lang w:val="en-US" w:eastAsia="en-GB"/>
        </w:rPr>
        <w:t xml:space="preserve">), 20 November 2025, </w:t>
      </w:r>
      <w:hyperlink r:id="rId61" w:history="1">
        <w:r w:rsidRPr="00933ED2">
          <w:rPr>
            <w:noProof/>
            <w:color w:val="0563C1" w:themeColor="hyperlink"/>
            <w:sz w:val="22"/>
            <w:szCs w:val="22"/>
            <w:u w:val="single"/>
            <w:lang w:val="en-US" w:eastAsia="en-GB"/>
          </w:rPr>
          <w:t>https://www.abogacia.es/actualidad/noticias/la-abogacia-pide-respeto-a-las-decisiones-judiciales-y-urge-a-confeccionar-un-nuevo-protocolo-de-conformidad-con-la-fiscalia/</w:t>
        </w:r>
      </w:hyperlink>
      <w:r w:rsidR="00702043" w:rsidRPr="00A86FA9">
        <w:rPr>
          <w:noProof/>
          <w:sz w:val="22"/>
          <w:szCs w:val="22"/>
          <w:lang w:val="en-US" w:eastAsia="en-GB"/>
        </w:rPr>
        <w:t>.</w:t>
      </w:r>
      <w:r w:rsidRPr="00933ED2">
        <w:rPr>
          <w:noProof/>
          <w:sz w:val="22"/>
          <w:szCs w:val="22"/>
          <w:lang w:val="en-US" w:eastAsia="en-GB"/>
        </w:rPr>
        <w:t xml:space="preserve"> </w:t>
      </w:r>
    </w:p>
    <w:p w14:paraId="696821E2" w14:textId="77777777" w:rsidR="00933ED2" w:rsidRPr="00933ED2" w:rsidRDefault="00933ED2" w:rsidP="00933ED2">
      <w:pPr>
        <w:spacing w:after="120"/>
        <w:rPr>
          <w:noProof/>
          <w:sz w:val="22"/>
          <w:szCs w:val="22"/>
          <w:lang w:val="en-US" w:eastAsia="en-GB"/>
        </w:rPr>
      </w:pPr>
      <w:r w:rsidRPr="00933ED2">
        <w:rPr>
          <w:noProof/>
          <w:sz w:val="22"/>
          <w:szCs w:val="22"/>
          <w:lang w:val="en-US" w:eastAsia="en-GB"/>
        </w:rPr>
        <w:t>Independent Authority for Whistleblower Protection (</w:t>
      </w:r>
      <w:r w:rsidRPr="00933ED2">
        <w:rPr>
          <w:i/>
          <w:iCs/>
          <w:noProof/>
          <w:sz w:val="22"/>
          <w:szCs w:val="22"/>
          <w:lang w:val="en-US" w:eastAsia="en-GB"/>
        </w:rPr>
        <w:t>Autoridad Independiente de Protección del Informante -</w:t>
      </w:r>
      <w:r w:rsidRPr="00933ED2">
        <w:rPr>
          <w:i/>
          <w:noProof/>
          <w:sz w:val="22"/>
          <w:szCs w:val="22"/>
          <w:lang w:val="en-US" w:eastAsia="en-GB"/>
        </w:rPr>
        <w:t>AIPI</w:t>
      </w:r>
      <w:r w:rsidRPr="00933ED2">
        <w:rPr>
          <w:noProof/>
          <w:sz w:val="22"/>
          <w:szCs w:val="22"/>
          <w:lang w:val="en-US" w:eastAsia="en-GB"/>
        </w:rPr>
        <w:t xml:space="preserve">) (2026), </w:t>
      </w:r>
      <w:r w:rsidRPr="00933ED2">
        <w:rPr>
          <w:i/>
          <w:iCs/>
          <w:noProof/>
          <w:sz w:val="22"/>
          <w:szCs w:val="22"/>
          <w:lang w:val="en-US" w:eastAsia="en-GB"/>
        </w:rPr>
        <w:t>Input for the 2026 Rule of Law report.</w:t>
      </w:r>
    </w:p>
    <w:p w14:paraId="5AE8BEAE" w14:textId="77777777"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Independent Judicial Forum (2026), </w:t>
      </w:r>
      <w:r w:rsidRPr="00933ED2">
        <w:rPr>
          <w:i/>
          <w:iCs/>
          <w:noProof/>
          <w:sz w:val="22"/>
          <w:szCs w:val="22"/>
          <w:lang w:val="en-US" w:eastAsia="en-GB"/>
        </w:rPr>
        <w:t>Input from Independent Judicial Forum for the 2026 Rule of Law Report</w:t>
      </w:r>
      <w:r w:rsidRPr="00933ED2">
        <w:rPr>
          <w:noProof/>
          <w:sz w:val="22"/>
          <w:szCs w:val="22"/>
          <w:lang w:val="en-US" w:eastAsia="en-GB"/>
        </w:rPr>
        <w:t>.</w:t>
      </w:r>
    </w:p>
    <w:p w14:paraId="2DE80DE0" w14:textId="3CE70691" w:rsidR="00933ED2" w:rsidRDefault="00933ED2" w:rsidP="00933ED2">
      <w:pPr>
        <w:spacing w:after="120"/>
        <w:rPr>
          <w:i/>
          <w:iCs/>
          <w:noProof/>
          <w:sz w:val="22"/>
          <w:szCs w:val="22"/>
          <w:lang w:val="en-US" w:eastAsia="en-GB"/>
        </w:rPr>
      </w:pPr>
      <w:r w:rsidRPr="00933ED2">
        <w:rPr>
          <w:noProof/>
          <w:sz w:val="22"/>
          <w:szCs w:val="22"/>
          <w:lang w:val="en-US" w:eastAsia="en-GB"/>
        </w:rPr>
        <w:t xml:space="preserve">Independent Office on Supervision of Public Procurement (2025), </w:t>
      </w:r>
      <w:r w:rsidRPr="00933ED2">
        <w:rPr>
          <w:i/>
          <w:iCs/>
          <w:noProof/>
          <w:sz w:val="22"/>
          <w:szCs w:val="22"/>
          <w:lang w:val="en-US" w:eastAsia="en-GB"/>
        </w:rPr>
        <w:t>Annual report</w:t>
      </w:r>
      <w:r w:rsidR="00E73D43">
        <w:rPr>
          <w:i/>
          <w:iCs/>
          <w:noProof/>
          <w:sz w:val="22"/>
          <w:szCs w:val="22"/>
          <w:lang w:val="en-US" w:eastAsia="en-GB"/>
        </w:rPr>
        <w:t>, Conclusions and recommendations</w:t>
      </w:r>
      <w:r w:rsidRPr="00933ED2">
        <w:rPr>
          <w:i/>
          <w:iCs/>
          <w:noProof/>
          <w:sz w:val="22"/>
          <w:szCs w:val="22"/>
          <w:lang w:val="en-US" w:eastAsia="en-GB"/>
        </w:rPr>
        <w:t>.</w:t>
      </w:r>
    </w:p>
    <w:p w14:paraId="106D2F0F" w14:textId="1CD7519E" w:rsidR="002D021D" w:rsidRPr="00933ED2" w:rsidRDefault="002D021D" w:rsidP="00AD43D7">
      <w:pPr>
        <w:spacing w:after="120"/>
        <w:rPr>
          <w:noProof/>
          <w:sz w:val="22"/>
          <w:szCs w:val="22"/>
          <w:lang w:val="en-US" w:eastAsia="en-GB"/>
        </w:rPr>
      </w:pPr>
      <w:r w:rsidRPr="002D021D">
        <w:rPr>
          <w:noProof/>
          <w:sz w:val="22"/>
          <w:szCs w:val="22"/>
          <w:lang w:val="en-US" w:eastAsia="en-GB"/>
        </w:rPr>
        <w:t>International Press Institute</w:t>
      </w:r>
      <w:r>
        <w:rPr>
          <w:noProof/>
          <w:sz w:val="22"/>
          <w:szCs w:val="22"/>
          <w:lang w:val="en-US" w:eastAsia="en-GB"/>
        </w:rPr>
        <w:t xml:space="preserve"> (202</w:t>
      </w:r>
      <w:r w:rsidR="00AD43D7">
        <w:rPr>
          <w:noProof/>
          <w:sz w:val="22"/>
          <w:szCs w:val="22"/>
          <w:lang w:val="en-US" w:eastAsia="en-GB"/>
        </w:rPr>
        <w:t>5</w:t>
      </w:r>
      <w:r>
        <w:rPr>
          <w:noProof/>
          <w:sz w:val="22"/>
          <w:szCs w:val="22"/>
          <w:lang w:val="en-US" w:eastAsia="en-GB"/>
        </w:rPr>
        <w:t xml:space="preserve">), </w:t>
      </w:r>
      <w:r w:rsidR="00AD43D7" w:rsidRPr="00AD43D7">
        <w:rPr>
          <w:noProof/>
          <w:sz w:val="22"/>
          <w:szCs w:val="22"/>
          <w:lang w:val="en-US" w:eastAsia="en-GB"/>
        </w:rPr>
        <w:t>Media Capture</w:t>
      </w:r>
      <w:r w:rsidR="00AD43D7">
        <w:rPr>
          <w:noProof/>
          <w:sz w:val="22"/>
          <w:szCs w:val="22"/>
          <w:lang w:val="en-US" w:eastAsia="en-GB"/>
        </w:rPr>
        <w:t xml:space="preserve"> </w:t>
      </w:r>
      <w:r w:rsidR="00AD43D7" w:rsidRPr="00AD43D7">
        <w:rPr>
          <w:noProof/>
          <w:sz w:val="22"/>
          <w:szCs w:val="22"/>
          <w:lang w:val="en-US" w:eastAsia="en-GB"/>
        </w:rPr>
        <w:t>Monitoring</w:t>
      </w:r>
      <w:r w:rsidR="00AD43D7">
        <w:rPr>
          <w:noProof/>
          <w:sz w:val="22"/>
          <w:szCs w:val="22"/>
          <w:lang w:val="en-US" w:eastAsia="en-GB"/>
        </w:rPr>
        <w:t xml:space="preserve"> </w:t>
      </w:r>
      <w:r w:rsidR="00AD43D7" w:rsidRPr="00AD43D7">
        <w:rPr>
          <w:noProof/>
          <w:sz w:val="22"/>
          <w:szCs w:val="22"/>
          <w:lang w:val="en-US" w:eastAsia="en-GB"/>
        </w:rPr>
        <w:t>Report:</w:t>
      </w:r>
      <w:r w:rsidR="00AD43D7">
        <w:rPr>
          <w:noProof/>
          <w:sz w:val="22"/>
          <w:szCs w:val="22"/>
          <w:lang w:val="en-US" w:eastAsia="en-GB"/>
        </w:rPr>
        <w:t xml:space="preserve"> </w:t>
      </w:r>
      <w:r w:rsidR="00AD43D7" w:rsidRPr="00AD43D7">
        <w:rPr>
          <w:noProof/>
          <w:sz w:val="22"/>
          <w:szCs w:val="22"/>
          <w:lang w:val="en-US" w:eastAsia="en-GB"/>
        </w:rPr>
        <w:t>Spain</w:t>
      </w:r>
      <w:r w:rsidR="00AD43D7">
        <w:rPr>
          <w:noProof/>
          <w:sz w:val="22"/>
          <w:szCs w:val="22"/>
          <w:lang w:val="en-US" w:eastAsia="en-GB"/>
        </w:rPr>
        <w:t xml:space="preserve"> </w:t>
      </w:r>
      <w:r w:rsidR="00AD43D7" w:rsidRPr="00AD43D7">
        <w:rPr>
          <w:noProof/>
          <w:sz w:val="22"/>
          <w:szCs w:val="22"/>
          <w:lang w:val="en-US" w:eastAsia="en-GB"/>
        </w:rPr>
        <w:t xml:space="preserve">Measuring </w:t>
      </w:r>
      <w:r w:rsidR="00AD43D7">
        <w:rPr>
          <w:noProof/>
          <w:sz w:val="22"/>
          <w:szCs w:val="22"/>
          <w:lang w:val="en-US" w:eastAsia="en-GB"/>
        </w:rPr>
        <w:t xml:space="preserve">EMFA </w:t>
      </w:r>
      <w:r w:rsidR="00AD43D7" w:rsidRPr="00AD43D7">
        <w:rPr>
          <w:noProof/>
          <w:sz w:val="22"/>
          <w:szCs w:val="22"/>
          <w:lang w:val="en-US" w:eastAsia="en-GB"/>
        </w:rPr>
        <w:t>Compliance</w:t>
      </w:r>
      <w:r w:rsidR="00AD43D7">
        <w:rPr>
          <w:noProof/>
          <w:sz w:val="22"/>
          <w:szCs w:val="22"/>
          <w:lang w:val="en-US" w:eastAsia="en-GB"/>
        </w:rPr>
        <w:t xml:space="preserve">, December 2025, </w:t>
      </w:r>
      <w:hyperlink r:id="rId62" w:history="1">
        <w:r w:rsidR="00CE527E" w:rsidRPr="004A7000">
          <w:rPr>
            <w:rStyle w:val="Hyperlink"/>
            <w:noProof/>
            <w:sz w:val="22"/>
            <w:szCs w:val="22"/>
            <w:lang w:val="en-US" w:eastAsia="en-GB"/>
          </w:rPr>
          <w:t>https://journalismresearch.org/wp-content/uploads/2025/12/SPAIN-media-Capture-Monitoring-Report-Overview-1.pdf</w:t>
        </w:r>
      </w:hyperlink>
      <w:r w:rsidR="00CE527E">
        <w:rPr>
          <w:noProof/>
          <w:sz w:val="22"/>
          <w:szCs w:val="22"/>
          <w:lang w:val="en-US" w:eastAsia="en-GB"/>
        </w:rPr>
        <w:t xml:space="preserve"> </w:t>
      </w:r>
    </w:p>
    <w:p w14:paraId="3A691D19" w14:textId="77777777"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Judges and Magistrates Association “Francisco de Vitoria” (2026), </w:t>
      </w:r>
      <w:r w:rsidRPr="00933ED2">
        <w:rPr>
          <w:i/>
          <w:iCs/>
          <w:noProof/>
          <w:sz w:val="22"/>
          <w:szCs w:val="22"/>
          <w:lang w:val="en-US" w:eastAsia="en-GB"/>
        </w:rPr>
        <w:t>Input from Judges and Magistrates Association “Francisco de Vitoria” for the 2026 Rule of Law Report.</w:t>
      </w:r>
    </w:p>
    <w:p w14:paraId="6D8E0FF0" w14:textId="77777777" w:rsidR="00933ED2" w:rsidRPr="00933ED2" w:rsidRDefault="00933ED2" w:rsidP="00933ED2">
      <w:pPr>
        <w:spacing w:after="120"/>
        <w:rPr>
          <w:i/>
          <w:iCs/>
          <w:noProof/>
          <w:sz w:val="22"/>
          <w:szCs w:val="22"/>
          <w:lang w:val="es-ES" w:eastAsia="en-GB"/>
        </w:rPr>
      </w:pPr>
      <w:r w:rsidRPr="00933ED2">
        <w:rPr>
          <w:noProof/>
          <w:sz w:val="22"/>
          <w:szCs w:val="22"/>
          <w:lang w:val="es-ES" w:eastAsia="en-GB"/>
        </w:rPr>
        <w:t xml:space="preserve">Letrados de la Administración de Justicia (Rechtspfleger) (2026), </w:t>
      </w:r>
      <w:r w:rsidRPr="00933ED2">
        <w:rPr>
          <w:i/>
          <w:iCs/>
          <w:noProof/>
          <w:sz w:val="22"/>
          <w:szCs w:val="22"/>
          <w:lang w:val="es-ES" w:eastAsia="en-GB"/>
        </w:rPr>
        <w:t>Input from Letrados de la Administración de Justicia (Rechtspfleger) for the 2026 Rule of Law Report.</w:t>
      </w:r>
    </w:p>
    <w:p w14:paraId="7E064B71" w14:textId="08A04A1F" w:rsidR="00933ED2" w:rsidRPr="00B34450" w:rsidRDefault="6C108E20" w:rsidP="4B70F7AD">
      <w:pPr>
        <w:spacing w:after="120"/>
        <w:rPr>
          <w:noProof/>
          <w:sz w:val="22"/>
          <w:szCs w:val="22"/>
          <w:lang w:val="es-ES" w:eastAsia="en-GB"/>
        </w:rPr>
      </w:pPr>
      <w:r w:rsidRPr="00B34450">
        <w:rPr>
          <w:noProof/>
          <w:sz w:val="22"/>
          <w:szCs w:val="22"/>
          <w:lang w:val="es-ES" w:eastAsia="en-GB"/>
        </w:rPr>
        <w:t>Law 2/2024 of 27 June on the Corporació Audiovisual de la Comunitat Valenciana (CACVSA)</w:t>
      </w:r>
      <w:r w:rsidR="104FF6F9" w:rsidRPr="00B34450">
        <w:rPr>
          <w:noProof/>
          <w:sz w:val="22"/>
          <w:szCs w:val="22"/>
          <w:lang w:val="es-ES" w:eastAsia="en-GB"/>
        </w:rPr>
        <w:t>.</w:t>
      </w:r>
    </w:p>
    <w:p w14:paraId="52892590" w14:textId="005FE52B" w:rsidR="00933ED2" w:rsidRPr="00B34450" w:rsidRDefault="00933ED2" w:rsidP="00933ED2">
      <w:pPr>
        <w:spacing w:after="120"/>
        <w:rPr>
          <w:noProof/>
          <w:sz w:val="22"/>
          <w:szCs w:val="22"/>
          <w:lang w:val="es-ES" w:eastAsia="en-GB"/>
        </w:rPr>
      </w:pPr>
      <w:r w:rsidRPr="00B34450">
        <w:rPr>
          <w:noProof/>
          <w:sz w:val="22"/>
          <w:szCs w:val="22"/>
          <w:lang w:val="es-ES" w:eastAsia="en-GB"/>
        </w:rPr>
        <w:t xml:space="preserve">Media Pluralism Monitor (2026), </w:t>
      </w:r>
      <w:r w:rsidRPr="00B34450">
        <w:rPr>
          <w:i/>
          <w:iCs/>
          <w:noProof/>
          <w:sz w:val="22"/>
          <w:szCs w:val="22"/>
          <w:lang w:val="es-ES" w:eastAsia="en-GB"/>
        </w:rPr>
        <w:t>Spain country report</w:t>
      </w:r>
      <w:r w:rsidR="0059444F" w:rsidRPr="00B34450">
        <w:rPr>
          <w:noProof/>
          <w:sz w:val="22"/>
          <w:szCs w:val="22"/>
          <w:lang w:val="es-ES" w:eastAsia="en-GB"/>
        </w:rPr>
        <w:t>.</w:t>
      </w:r>
    </w:p>
    <w:p w14:paraId="7272D45C" w14:textId="25791C46" w:rsidR="00933ED2" w:rsidRPr="00B34450" w:rsidRDefault="00933ED2" w:rsidP="00933ED2">
      <w:pPr>
        <w:spacing w:after="120"/>
        <w:rPr>
          <w:noProof/>
          <w:sz w:val="22"/>
          <w:szCs w:val="22"/>
          <w:lang w:val="es-ES" w:eastAsia="en-GB"/>
        </w:rPr>
      </w:pPr>
      <w:r w:rsidRPr="00B34450">
        <w:rPr>
          <w:noProof/>
          <w:sz w:val="22"/>
          <w:szCs w:val="22"/>
          <w:lang w:val="es-ES" w:eastAsia="en-GB"/>
        </w:rPr>
        <w:t xml:space="preserve">Ministry of </w:t>
      </w:r>
      <w:r w:rsidR="00E17CCA" w:rsidRPr="00B34450">
        <w:rPr>
          <w:noProof/>
          <w:sz w:val="22"/>
          <w:szCs w:val="22"/>
          <w:lang w:val="es-ES"/>
        </w:rPr>
        <w:t>the Presidency, Justice and Relations with the Parliament</w:t>
      </w:r>
      <w:r w:rsidRPr="00B34450">
        <w:rPr>
          <w:noProof/>
          <w:sz w:val="22"/>
          <w:szCs w:val="22"/>
          <w:lang w:val="es-ES" w:eastAsia="en-GB"/>
        </w:rPr>
        <w:t xml:space="preserve"> (2026), Draft Royal Decree establishing 500 judicial units corresponding to the 2026 programming and adaptation of the judicial staff (</w:t>
      </w:r>
      <w:r w:rsidRPr="00B34450">
        <w:rPr>
          <w:i/>
          <w:iCs/>
          <w:noProof/>
          <w:sz w:val="22"/>
          <w:szCs w:val="22"/>
          <w:lang w:val="es-ES" w:eastAsia="en-GB"/>
        </w:rPr>
        <w:t>Proyecto de Real Decreto de creación de quinientas unidades judiciales correspondientes a la programación de 2026 y de adecuación de la planta judicial</w:t>
      </w:r>
      <w:r w:rsidRPr="00B34450">
        <w:rPr>
          <w:noProof/>
          <w:sz w:val="22"/>
          <w:szCs w:val="22"/>
          <w:lang w:val="es-ES" w:eastAsia="en-GB"/>
        </w:rPr>
        <w:t xml:space="preserve">), 26 January 2026, </w:t>
      </w:r>
      <w:hyperlink r:id="rId63" w:history="1">
        <w:r w:rsidRPr="00B34450">
          <w:rPr>
            <w:noProof/>
            <w:color w:val="0563C1" w:themeColor="hyperlink"/>
            <w:sz w:val="22"/>
            <w:szCs w:val="22"/>
            <w:u w:val="single"/>
            <w:lang w:val="es-ES" w:eastAsia="en-GB"/>
          </w:rPr>
          <w:t>https://www.mjusticia.gob.es/es/ElMinisterio/GabineteComunicacion/Documents/RD-Creaci%c3%b3n%20plazas%20judiciales%202026.pdf</w:t>
        </w:r>
      </w:hyperlink>
      <w:r w:rsidR="0059444F" w:rsidRPr="00B34450">
        <w:rPr>
          <w:noProof/>
          <w:sz w:val="22"/>
          <w:szCs w:val="22"/>
          <w:lang w:val="es-ES" w:eastAsia="en-GB"/>
        </w:rPr>
        <w:t>.</w:t>
      </w:r>
      <w:r w:rsidRPr="00B34450">
        <w:rPr>
          <w:noProof/>
          <w:sz w:val="22"/>
          <w:szCs w:val="22"/>
          <w:lang w:val="es-ES" w:eastAsia="en-GB"/>
        </w:rPr>
        <w:t xml:space="preserve"> </w:t>
      </w:r>
    </w:p>
    <w:p w14:paraId="3A49BF77" w14:textId="041C1A4B" w:rsidR="00933ED2" w:rsidRPr="00933ED2" w:rsidRDefault="00933ED2" w:rsidP="00933ED2">
      <w:pPr>
        <w:spacing w:after="120"/>
        <w:rPr>
          <w:noProof/>
          <w:sz w:val="22"/>
          <w:szCs w:val="22"/>
          <w:lang w:val="en-IE" w:eastAsia="en-GB"/>
        </w:rPr>
      </w:pPr>
      <w:r w:rsidRPr="00933ED2">
        <w:rPr>
          <w:noProof/>
          <w:sz w:val="22"/>
          <w:szCs w:val="22"/>
          <w:lang w:val="en-IE" w:eastAsia="en-GB"/>
        </w:rPr>
        <w:t xml:space="preserve">Ministry of </w:t>
      </w:r>
      <w:r w:rsidR="00E17CCA" w:rsidRPr="00946986">
        <w:rPr>
          <w:noProof/>
          <w:sz w:val="22"/>
          <w:szCs w:val="22"/>
        </w:rPr>
        <w:t>the Presidency, Justice and Relations with the Parliament</w:t>
      </w:r>
      <w:r w:rsidRPr="00933ED2">
        <w:rPr>
          <w:noProof/>
          <w:sz w:val="22"/>
          <w:szCs w:val="22"/>
          <w:lang w:val="en-IE" w:eastAsia="en-GB"/>
        </w:rPr>
        <w:t xml:space="preserve"> (2026a), The Government will create and open applications for 200 public prosecutor posts in 2026, a historic record (</w:t>
      </w:r>
      <w:r w:rsidRPr="00933ED2">
        <w:rPr>
          <w:i/>
          <w:iCs/>
          <w:noProof/>
          <w:sz w:val="22"/>
          <w:szCs w:val="22"/>
          <w:lang w:val="en-IE" w:eastAsia="en-GB"/>
        </w:rPr>
        <w:t>El Gobierno creará y convocará 200 plazas de fiscales en 2026, un récord histórico</w:t>
      </w:r>
      <w:r w:rsidRPr="00933ED2">
        <w:rPr>
          <w:noProof/>
          <w:sz w:val="22"/>
          <w:szCs w:val="22"/>
          <w:lang w:val="en-IE" w:eastAsia="en-GB"/>
        </w:rPr>
        <w:t xml:space="preserve">), 11 March 2026, </w:t>
      </w:r>
      <w:hyperlink r:id="rId64" w:history="1">
        <w:r w:rsidRPr="00933ED2">
          <w:rPr>
            <w:noProof/>
            <w:color w:val="0563C1" w:themeColor="hyperlink"/>
            <w:sz w:val="22"/>
            <w:szCs w:val="22"/>
            <w:u w:val="single"/>
            <w:lang w:val="en-IE" w:eastAsia="en-GB"/>
          </w:rPr>
          <w:t>https://www.mjusticia.gob.es/es/institucional/gabinete-comunicacion/noticias-ministerio/fiscales-2026</w:t>
        </w:r>
      </w:hyperlink>
      <w:r w:rsidR="0059444F" w:rsidRPr="00A86FA9">
        <w:rPr>
          <w:noProof/>
          <w:sz w:val="22"/>
          <w:szCs w:val="22"/>
          <w:lang w:val="en-US" w:eastAsia="en-GB"/>
        </w:rPr>
        <w:t>.</w:t>
      </w:r>
    </w:p>
    <w:p w14:paraId="3A42FD64" w14:textId="5E0F49A8" w:rsidR="00933ED2" w:rsidRPr="00933ED2" w:rsidRDefault="00933ED2" w:rsidP="00933ED2">
      <w:pPr>
        <w:spacing w:after="120"/>
        <w:rPr>
          <w:noProof/>
          <w:sz w:val="22"/>
          <w:szCs w:val="22"/>
          <w:lang w:val="en-IE" w:eastAsia="en-GB"/>
        </w:rPr>
      </w:pPr>
      <w:r w:rsidRPr="00933ED2">
        <w:rPr>
          <w:noProof/>
          <w:sz w:val="22"/>
          <w:szCs w:val="22"/>
          <w:lang w:val="en-IE" w:eastAsia="en-GB"/>
        </w:rPr>
        <w:t xml:space="preserve">Ministry of </w:t>
      </w:r>
      <w:r w:rsidR="00E17CCA" w:rsidRPr="00946986">
        <w:rPr>
          <w:noProof/>
          <w:sz w:val="22"/>
          <w:szCs w:val="22"/>
        </w:rPr>
        <w:t>the Presidency, Justice and Relations with the Parliament</w:t>
      </w:r>
      <w:r w:rsidRPr="00933ED2">
        <w:rPr>
          <w:noProof/>
          <w:sz w:val="22"/>
          <w:szCs w:val="22"/>
          <w:lang w:val="en-IE" w:eastAsia="en-GB"/>
        </w:rPr>
        <w:t xml:space="preserve"> (2026b), Protocol between the Ministry of the Presidency, Justice and Relations with Parliament; the Ombudsperson; the Spanish Episcopal Conference; and the Spanish Conference of Religious Persons, for the organisation and functioning of the system for the recognition and reparation of victims of sexual abuse within the Catholic Church (</w:t>
      </w:r>
      <w:r w:rsidRPr="00933ED2">
        <w:rPr>
          <w:i/>
          <w:iCs/>
          <w:noProof/>
          <w:sz w:val="22"/>
          <w:szCs w:val="22"/>
          <w:lang w:val="en-IE" w:eastAsia="en-GB"/>
        </w:rPr>
        <w:t>Protocolo entre el Ministerio de la Presidencia, Justicia y Relaciones con las Cortes; el Defensor del Pueblo; la Conferencia Episcopal Española; y la Conferencia Española de Religiosos, para la organización y funcionamiento del sistema de reconocimiento y reparación de las víctimas de abusos sexuales en el ámbito de la Iglesia Católica</w:t>
      </w:r>
      <w:r w:rsidRPr="00933ED2">
        <w:rPr>
          <w:noProof/>
          <w:sz w:val="22"/>
          <w:szCs w:val="22"/>
          <w:lang w:val="en-IE" w:eastAsia="en-GB"/>
        </w:rPr>
        <w:t xml:space="preserve">), 30 March 2026, </w:t>
      </w:r>
      <w:hyperlink r:id="rId65" w:history="1">
        <w:r w:rsidRPr="00933ED2">
          <w:rPr>
            <w:noProof/>
            <w:color w:val="0563C1" w:themeColor="hyperlink"/>
            <w:sz w:val="22"/>
            <w:szCs w:val="22"/>
            <w:u w:val="single"/>
            <w:lang w:val="en-IE" w:eastAsia="en-GB"/>
          </w:rPr>
          <w:t>https://www.defensordelpueblo.es/wp-content/uploads/2026/04/Protocolo-reconocimiento-y-reparacion.pdf</w:t>
        </w:r>
      </w:hyperlink>
      <w:r w:rsidR="0059444F" w:rsidRPr="00A86FA9">
        <w:rPr>
          <w:noProof/>
          <w:sz w:val="22"/>
          <w:szCs w:val="22"/>
          <w:lang w:val="en-US" w:eastAsia="en-GB"/>
        </w:rPr>
        <w:t>.</w:t>
      </w:r>
      <w:r w:rsidRPr="00933ED2">
        <w:rPr>
          <w:noProof/>
          <w:sz w:val="22"/>
          <w:szCs w:val="22"/>
          <w:lang w:val="en-IE" w:eastAsia="en-GB"/>
        </w:rPr>
        <w:t xml:space="preserve"> </w:t>
      </w:r>
    </w:p>
    <w:p w14:paraId="0A58DD30" w14:textId="3C22C21F" w:rsidR="00933ED2" w:rsidRPr="00933ED2" w:rsidRDefault="00933ED2" w:rsidP="00933ED2">
      <w:pPr>
        <w:spacing w:after="120"/>
        <w:rPr>
          <w:noProof/>
          <w:sz w:val="22"/>
          <w:szCs w:val="22"/>
          <w:highlight w:val="yellow"/>
          <w:lang w:val="en-IE" w:eastAsia="en-GB"/>
        </w:rPr>
      </w:pPr>
      <w:r w:rsidRPr="00933ED2">
        <w:rPr>
          <w:noProof/>
          <w:sz w:val="22"/>
          <w:szCs w:val="22"/>
          <w:lang w:val="en-US" w:eastAsia="en-GB"/>
        </w:rPr>
        <w:t xml:space="preserve">National Anti-Fraud Coordination Service (2026), </w:t>
      </w:r>
      <w:r w:rsidRPr="00933ED2">
        <w:rPr>
          <w:i/>
          <w:iCs/>
          <w:noProof/>
          <w:sz w:val="22"/>
          <w:szCs w:val="22"/>
          <w:lang w:val="en-US" w:eastAsia="en-GB"/>
        </w:rPr>
        <w:t>Input for the 2026 Rule of Law Report</w:t>
      </w:r>
      <w:r w:rsidR="0059444F" w:rsidRPr="00A86FA9">
        <w:rPr>
          <w:noProof/>
          <w:sz w:val="22"/>
          <w:szCs w:val="22"/>
          <w:lang w:val="en-US" w:eastAsia="en-GB"/>
        </w:rPr>
        <w:t>.</w:t>
      </w:r>
    </w:p>
    <w:p w14:paraId="0E2A2DFE" w14:textId="6F958300" w:rsidR="00933ED2" w:rsidRPr="00933ED2" w:rsidRDefault="00933ED2" w:rsidP="00933ED2">
      <w:pPr>
        <w:spacing w:after="120"/>
        <w:rPr>
          <w:i/>
          <w:noProof/>
          <w:sz w:val="22"/>
          <w:szCs w:val="22"/>
          <w:lang w:val="en-US" w:eastAsia="en-GB"/>
        </w:rPr>
      </w:pPr>
      <w:r w:rsidRPr="00933ED2">
        <w:rPr>
          <w:noProof/>
          <w:sz w:val="22"/>
          <w:szCs w:val="22"/>
          <w:lang w:val="en-US" w:eastAsia="en-GB"/>
        </w:rPr>
        <w:t xml:space="preserve">OECD (2025), </w:t>
      </w:r>
      <w:r w:rsidRPr="00933ED2">
        <w:rPr>
          <w:i/>
          <w:iCs/>
          <w:noProof/>
          <w:sz w:val="22"/>
          <w:szCs w:val="22"/>
          <w:lang w:val="en-US" w:eastAsia="en-GB"/>
        </w:rPr>
        <w:t xml:space="preserve">Better Regulation Practices across the European Union 2025, </w:t>
      </w:r>
      <w:r w:rsidRPr="00933ED2">
        <w:rPr>
          <w:noProof/>
          <w:sz w:val="22"/>
          <w:szCs w:val="22"/>
          <w:lang w:val="en-US" w:eastAsia="en-GB"/>
        </w:rPr>
        <w:t>29 September 2025,</w:t>
      </w:r>
      <w:r w:rsidRPr="00933ED2">
        <w:rPr>
          <w:i/>
          <w:iCs/>
          <w:noProof/>
          <w:sz w:val="22"/>
          <w:szCs w:val="22"/>
          <w:lang w:val="en-US" w:eastAsia="en-GB"/>
        </w:rPr>
        <w:t xml:space="preserve"> </w:t>
      </w:r>
      <w:hyperlink r:id="rId66" w:history="1">
        <w:r w:rsidRPr="00933ED2">
          <w:rPr>
            <w:i/>
            <w:iCs/>
            <w:noProof/>
            <w:color w:val="0563C1" w:themeColor="hyperlink"/>
            <w:sz w:val="22"/>
            <w:szCs w:val="22"/>
            <w:u w:val="single"/>
            <w:lang w:val="en-US" w:eastAsia="en-GB"/>
          </w:rPr>
          <w:t>https://www.oecd.org/content/dam/oecd/en/publications/reports/2025/09/better-regulation-practices-across-the-european-union-2025_a3dfd5e6/6f007516-en.pdf</w:t>
        </w:r>
      </w:hyperlink>
      <w:r w:rsidR="0059444F" w:rsidRPr="00A86FA9">
        <w:rPr>
          <w:noProof/>
          <w:sz w:val="22"/>
          <w:szCs w:val="22"/>
          <w:lang w:val="en-US" w:eastAsia="en-GB"/>
        </w:rPr>
        <w:t>.</w:t>
      </w:r>
      <w:r w:rsidRPr="00933ED2">
        <w:rPr>
          <w:i/>
          <w:iCs/>
          <w:noProof/>
          <w:sz w:val="22"/>
          <w:szCs w:val="22"/>
          <w:lang w:val="en-US" w:eastAsia="en-GB"/>
        </w:rPr>
        <w:t xml:space="preserve"> </w:t>
      </w:r>
    </w:p>
    <w:p w14:paraId="03331B8E" w14:textId="274C3721" w:rsidR="00933ED2" w:rsidRPr="00933ED2" w:rsidRDefault="00933ED2" w:rsidP="00933ED2">
      <w:pPr>
        <w:spacing w:after="120"/>
        <w:rPr>
          <w:i/>
          <w:iCs/>
          <w:noProof/>
          <w:sz w:val="22"/>
          <w:szCs w:val="22"/>
          <w:lang w:val="en-US" w:eastAsia="en-GB"/>
        </w:rPr>
      </w:pPr>
      <w:r w:rsidRPr="00933ED2">
        <w:rPr>
          <w:noProof/>
          <w:sz w:val="22"/>
          <w:szCs w:val="22"/>
          <w:lang w:val="en-US" w:eastAsia="en-GB"/>
        </w:rPr>
        <w:t>OECD (2025a),</w:t>
      </w:r>
      <w:r w:rsidRPr="00933ED2">
        <w:rPr>
          <w:i/>
          <w:iCs/>
          <w:noProof/>
          <w:sz w:val="22"/>
          <w:szCs w:val="22"/>
          <w:lang w:val="en-US" w:eastAsia="en-GB"/>
        </w:rPr>
        <w:t xml:space="preserve"> Anti-Bribery Convention Phase 4, Follow-up Report on Spain, </w:t>
      </w:r>
      <w:hyperlink r:id="rId67" w:history="1">
        <w:r w:rsidRPr="00933ED2">
          <w:rPr>
            <w:i/>
            <w:iCs/>
            <w:noProof/>
            <w:color w:val="0563C1" w:themeColor="hyperlink"/>
            <w:sz w:val="22"/>
            <w:szCs w:val="22"/>
            <w:u w:val="single"/>
            <w:lang w:val="en-US" w:eastAsia="en-GB"/>
          </w:rPr>
          <w:t>https://www.oecd.org/en/publications/oecd-anti-bribery-convention-phase-4-follow-up-report-on-spain_4f4eb067-en.html</w:t>
        </w:r>
      </w:hyperlink>
      <w:r w:rsidR="0059444F" w:rsidRPr="00A86FA9">
        <w:rPr>
          <w:noProof/>
          <w:sz w:val="22"/>
          <w:szCs w:val="22"/>
          <w:lang w:val="en-US" w:eastAsia="en-GB"/>
        </w:rPr>
        <w:t>.</w:t>
      </w:r>
      <w:r w:rsidRPr="00933ED2">
        <w:rPr>
          <w:i/>
          <w:iCs/>
          <w:noProof/>
          <w:sz w:val="22"/>
          <w:szCs w:val="22"/>
          <w:lang w:val="en-US" w:eastAsia="en-GB"/>
        </w:rPr>
        <w:t xml:space="preserve"> </w:t>
      </w:r>
    </w:p>
    <w:p w14:paraId="5AB4C57D" w14:textId="7F8E95D8" w:rsidR="00933ED2" w:rsidRPr="00933ED2" w:rsidRDefault="00933ED2" w:rsidP="00933ED2">
      <w:pPr>
        <w:spacing w:after="120"/>
        <w:rPr>
          <w:noProof/>
          <w:sz w:val="22"/>
          <w:szCs w:val="22"/>
          <w:lang w:eastAsia="en-GB"/>
        </w:rPr>
      </w:pPr>
      <w:r w:rsidRPr="00933ED2">
        <w:rPr>
          <w:noProof/>
          <w:sz w:val="22"/>
          <w:szCs w:val="22"/>
          <w:lang w:val="en-US" w:eastAsia="en-GB"/>
        </w:rPr>
        <w:t xml:space="preserve">Office for Conflicts of Interest (2025) </w:t>
      </w:r>
      <w:r w:rsidRPr="00933ED2">
        <w:rPr>
          <w:i/>
          <w:noProof/>
          <w:sz w:val="22"/>
          <w:szCs w:val="22"/>
          <w:lang w:val="en-US" w:eastAsia="en-GB"/>
        </w:rPr>
        <w:t>Report on the fulfilment of senior officials with the obligations provided for in law 3/2015, of 30 March, regulating the exercise of senior office in the general state administration</w:t>
      </w:r>
      <w:r w:rsidRPr="00933ED2">
        <w:rPr>
          <w:noProof/>
          <w:sz w:val="22"/>
          <w:szCs w:val="22"/>
          <w:lang w:val="en-US" w:eastAsia="en-GB"/>
        </w:rPr>
        <w:t xml:space="preserve">, </w:t>
      </w:r>
      <w:hyperlink r:id="rId68" w:history="1">
        <w:r w:rsidRPr="00933ED2">
          <w:rPr>
            <w:noProof/>
            <w:sz w:val="22"/>
            <w:szCs w:val="22"/>
            <w:u w:val="single"/>
            <w:lang w:val="en-US" w:eastAsia="en-GB"/>
          </w:rPr>
          <w:t>https://digital.gob.es/funcion-publica/incompatibilidad-y-conflicto-intereses/informe-cumplimiento-altos-cargos</w:t>
        </w:r>
      </w:hyperlink>
      <w:r w:rsidR="0059444F" w:rsidRPr="00A86FA9">
        <w:rPr>
          <w:noProof/>
          <w:sz w:val="22"/>
          <w:szCs w:val="22"/>
          <w:lang w:val="en-US" w:eastAsia="en-GB"/>
        </w:rPr>
        <w:t>.</w:t>
      </w:r>
      <w:r w:rsidRPr="00933ED2">
        <w:rPr>
          <w:noProof/>
          <w:sz w:val="22"/>
          <w:szCs w:val="22"/>
          <w:lang w:val="en-US" w:eastAsia="en-GB"/>
        </w:rPr>
        <w:t xml:space="preserve"> </w:t>
      </w:r>
    </w:p>
    <w:p w14:paraId="64094160" w14:textId="733C5625" w:rsidR="00933ED2" w:rsidRPr="00933ED2" w:rsidRDefault="00933ED2" w:rsidP="00933ED2">
      <w:pPr>
        <w:spacing w:after="120"/>
        <w:rPr>
          <w:noProof/>
          <w:sz w:val="22"/>
          <w:szCs w:val="22"/>
          <w:lang w:val="en-US" w:eastAsia="en-GB"/>
        </w:rPr>
      </w:pPr>
      <w:r w:rsidRPr="00933ED2">
        <w:rPr>
          <w:noProof/>
          <w:sz w:val="22"/>
          <w:szCs w:val="22"/>
          <w:lang w:val="en-US" w:eastAsia="en-GB"/>
        </w:rPr>
        <w:t>Ombudsperson (2025), 2024 Annual Report (</w:t>
      </w:r>
      <w:r w:rsidRPr="00933ED2">
        <w:rPr>
          <w:i/>
          <w:iCs/>
          <w:noProof/>
          <w:sz w:val="22"/>
          <w:szCs w:val="22"/>
          <w:lang w:val="en-US" w:eastAsia="en-GB"/>
        </w:rPr>
        <w:t>Informe Annual 2024</w:t>
      </w:r>
      <w:r w:rsidRPr="00933ED2">
        <w:rPr>
          <w:noProof/>
          <w:sz w:val="22"/>
          <w:szCs w:val="22"/>
          <w:lang w:val="en-US" w:eastAsia="en-GB"/>
        </w:rPr>
        <w:t xml:space="preserve">), </w:t>
      </w:r>
      <w:hyperlink r:id="rId69" w:history="1">
        <w:r w:rsidRPr="00933ED2">
          <w:rPr>
            <w:noProof/>
            <w:color w:val="0563C1" w:themeColor="hyperlink"/>
            <w:sz w:val="22"/>
            <w:szCs w:val="22"/>
            <w:u w:val="single"/>
            <w:lang w:val="en-US" w:eastAsia="en-GB"/>
          </w:rPr>
          <w:t>https://www.defensordelpueblo.es/wp-content/uploads/2025/03/Defensor-del-Pueblo_Informe-anual-2024.pdf</w:t>
        </w:r>
      </w:hyperlink>
      <w:r w:rsidR="0059444F" w:rsidRPr="00A86FA9">
        <w:rPr>
          <w:noProof/>
          <w:sz w:val="22"/>
          <w:szCs w:val="22"/>
          <w:lang w:val="en-US" w:eastAsia="en-GB"/>
        </w:rPr>
        <w:t>.</w:t>
      </w:r>
      <w:r w:rsidRPr="00933ED2">
        <w:rPr>
          <w:noProof/>
          <w:sz w:val="22"/>
          <w:szCs w:val="22"/>
          <w:lang w:val="en-US" w:eastAsia="en-GB"/>
        </w:rPr>
        <w:t xml:space="preserve"> </w:t>
      </w:r>
    </w:p>
    <w:p w14:paraId="521DDF1C" w14:textId="6F0F5E57" w:rsidR="00933ED2" w:rsidRPr="00933ED2" w:rsidRDefault="00933ED2" w:rsidP="00933ED2">
      <w:pPr>
        <w:spacing w:after="120"/>
        <w:rPr>
          <w:noProof/>
          <w:sz w:val="22"/>
          <w:szCs w:val="22"/>
          <w:lang w:val="en-US" w:eastAsia="en-GB"/>
        </w:rPr>
      </w:pPr>
      <w:r w:rsidRPr="00933ED2">
        <w:rPr>
          <w:noProof/>
          <w:sz w:val="22"/>
          <w:szCs w:val="22"/>
          <w:lang w:val="en-US" w:eastAsia="en-GB"/>
        </w:rPr>
        <w:t>Omb</w:t>
      </w:r>
      <w:r w:rsidR="00A372D4">
        <w:rPr>
          <w:noProof/>
          <w:sz w:val="22"/>
          <w:szCs w:val="22"/>
          <w:lang w:val="en-US" w:eastAsia="en-GB"/>
        </w:rPr>
        <w:t>u</w:t>
      </w:r>
      <w:r w:rsidRPr="00933ED2">
        <w:rPr>
          <w:noProof/>
          <w:sz w:val="22"/>
          <w:szCs w:val="22"/>
          <w:lang w:val="en-US" w:eastAsia="en-GB"/>
        </w:rPr>
        <w:t xml:space="preserve">dsperson (2026), </w:t>
      </w:r>
      <w:r w:rsidRPr="00933ED2">
        <w:rPr>
          <w:i/>
          <w:iCs/>
          <w:noProof/>
          <w:sz w:val="22"/>
          <w:szCs w:val="22"/>
          <w:lang w:val="en-US" w:eastAsia="en-GB"/>
        </w:rPr>
        <w:t>Input from the Ombudsperson for the 2026 Rule of Law Report</w:t>
      </w:r>
      <w:r w:rsidRPr="00933ED2">
        <w:rPr>
          <w:noProof/>
          <w:sz w:val="22"/>
          <w:szCs w:val="22"/>
          <w:lang w:val="en-US" w:eastAsia="en-GB"/>
        </w:rPr>
        <w:t>.</w:t>
      </w:r>
    </w:p>
    <w:p w14:paraId="5F0509D7" w14:textId="45CA7F2F" w:rsidR="00933ED2" w:rsidRPr="00933ED2" w:rsidRDefault="00933ED2" w:rsidP="00933ED2">
      <w:pPr>
        <w:spacing w:after="120"/>
        <w:rPr>
          <w:noProof/>
          <w:sz w:val="22"/>
          <w:szCs w:val="22"/>
          <w:lang w:val="en-US" w:eastAsia="en-GB"/>
        </w:rPr>
      </w:pPr>
      <w:r w:rsidRPr="00933ED2">
        <w:rPr>
          <w:noProof/>
          <w:sz w:val="22"/>
          <w:szCs w:val="22"/>
          <w:lang w:val="en-US" w:eastAsia="en-GB"/>
        </w:rPr>
        <w:t>Ombudsperson (2026a), 2025 Annual Report (</w:t>
      </w:r>
      <w:r w:rsidRPr="00933ED2">
        <w:rPr>
          <w:i/>
          <w:iCs/>
          <w:noProof/>
          <w:sz w:val="22"/>
          <w:szCs w:val="22"/>
          <w:lang w:val="en-US" w:eastAsia="en-GB"/>
        </w:rPr>
        <w:t>Informe Anual 2025</w:t>
      </w:r>
      <w:r w:rsidRPr="00933ED2">
        <w:rPr>
          <w:noProof/>
          <w:sz w:val="22"/>
          <w:szCs w:val="22"/>
          <w:lang w:val="en-US" w:eastAsia="en-GB"/>
        </w:rPr>
        <w:t xml:space="preserve">), </w:t>
      </w:r>
      <w:hyperlink r:id="rId70" w:history="1">
        <w:r w:rsidRPr="00933ED2">
          <w:rPr>
            <w:noProof/>
            <w:color w:val="0563C1" w:themeColor="hyperlink"/>
            <w:sz w:val="22"/>
            <w:szCs w:val="22"/>
            <w:u w:val="single"/>
            <w:lang w:val="en-US" w:eastAsia="en-GB"/>
          </w:rPr>
          <w:t>https://www.defensordelpueblo.es/wp-content/uploads/2026/03/Defensor-del-Pueblo_Informe-anual-2025.pdf</w:t>
        </w:r>
      </w:hyperlink>
      <w:r w:rsidR="0059444F" w:rsidRPr="00A86FA9">
        <w:rPr>
          <w:noProof/>
          <w:sz w:val="22"/>
          <w:szCs w:val="22"/>
          <w:lang w:val="en-US" w:eastAsia="en-GB"/>
        </w:rPr>
        <w:t>.</w:t>
      </w:r>
      <w:r w:rsidRPr="00933ED2">
        <w:rPr>
          <w:noProof/>
          <w:sz w:val="22"/>
          <w:szCs w:val="22"/>
          <w:lang w:val="en-US" w:eastAsia="en-GB"/>
        </w:rPr>
        <w:t xml:space="preserve"> </w:t>
      </w:r>
    </w:p>
    <w:p w14:paraId="5F5760AF" w14:textId="0DFA01B3" w:rsidR="00933ED2" w:rsidRPr="00933ED2" w:rsidRDefault="00933ED2" w:rsidP="00933ED2">
      <w:pPr>
        <w:spacing w:after="120"/>
        <w:rPr>
          <w:noProof/>
          <w:sz w:val="22"/>
          <w:szCs w:val="22"/>
          <w:lang w:val="en-US" w:eastAsia="en-GB"/>
        </w:rPr>
      </w:pPr>
      <w:r w:rsidRPr="00933ED2">
        <w:rPr>
          <w:noProof/>
          <w:sz w:val="22"/>
          <w:szCs w:val="22"/>
          <w:lang w:val="en-US" w:eastAsia="en-GB"/>
        </w:rPr>
        <w:t>Organic Law 6/1985, of 1 July, on the Judiciary (</w:t>
      </w:r>
      <w:r w:rsidRPr="00933ED2">
        <w:rPr>
          <w:i/>
          <w:iCs/>
          <w:noProof/>
          <w:sz w:val="22"/>
          <w:szCs w:val="22"/>
          <w:lang w:val="en-US" w:eastAsia="en-GB"/>
        </w:rPr>
        <w:t>Ley Orgánica 6/1985, de 1 de julio, del Poder Judicial</w:t>
      </w:r>
      <w:r w:rsidRPr="00933ED2">
        <w:rPr>
          <w:noProof/>
          <w:sz w:val="22"/>
          <w:szCs w:val="22"/>
          <w:lang w:val="en-US" w:eastAsia="en-GB"/>
        </w:rPr>
        <w:t xml:space="preserve">), </w:t>
      </w:r>
      <w:hyperlink r:id="rId71" w:history="1">
        <w:r w:rsidRPr="00933ED2">
          <w:rPr>
            <w:noProof/>
            <w:color w:val="0563C1" w:themeColor="hyperlink"/>
            <w:sz w:val="22"/>
            <w:szCs w:val="22"/>
            <w:u w:val="single"/>
            <w:lang w:val="en-US" w:eastAsia="en-GB"/>
          </w:rPr>
          <w:t>https://www.boe.es/buscar/act.php?id=BOE-A-1985-12666</w:t>
        </w:r>
      </w:hyperlink>
      <w:r w:rsidR="0059444F" w:rsidRPr="00A86FA9">
        <w:rPr>
          <w:noProof/>
          <w:sz w:val="22"/>
          <w:szCs w:val="22"/>
          <w:lang w:val="en-US" w:eastAsia="en-GB"/>
        </w:rPr>
        <w:t>.</w:t>
      </w:r>
    </w:p>
    <w:p w14:paraId="362502C6" w14:textId="1AD5EFC8" w:rsidR="00933ED2" w:rsidRPr="00933ED2" w:rsidRDefault="00933ED2" w:rsidP="00933ED2">
      <w:pPr>
        <w:spacing w:after="120"/>
        <w:rPr>
          <w:noProof/>
          <w:sz w:val="22"/>
          <w:szCs w:val="22"/>
          <w:lang w:val="es-ES" w:eastAsia="en-GB"/>
        </w:rPr>
      </w:pPr>
      <w:r w:rsidRPr="00933ED2">
        <w:rPr>
          <w:noProof/>
          <w:sz w:val="22"/>
          <w:szCs w:val="22"/>
          <w:lang w:val="es-ES" w:eastAsia="en-GB"/>
        </w:rPr>
        <w:t>Organic Law 1/2024 of 10 June on Amnesty for the Institutional, Political and Social Normalisation of Catalonia (</w:t>
      </w:r>
      <w:r w:rsidRPr="00933ED2">
        <w:rPr>
          <w:i/>
          <w:iCs/>
          <w:noProof/>
          <w:sz w:val="22"/>
          <w:szCs w:val="22"/>
          <w:lang w:val="es-ES" w:eastAsia="en-GB"/>
        </w:rPr>
        <w:t>Ley Orgánica 1/2024, de 10 de junio, de amnistía para la normalización institucional, política y social en Cataluña</w:t>
      </w:r>
      <w:r w:rsidRPr="00933ED2">
        <w:rPr>
          <w:noProof/>
          <w:sz w:val="22"/>
          <w:szCs w:val="22"/>
          <w:lang w:val="es-ES" w:eastAsia="en-GB"/>
        </w:rPr>
        <w:t xml:space="preserve">), </w:t>
      </w:r>
      <w:hyperlink r:id="rId72" w:history="1">
        <w:r w:rsidRPr="00933ED2">
          <w:rPr>
            <w:noProof/>
            <w:color w:val="0563C1" w:themeColor="hyperlink"/>
            <w:sz w:val="22"/>
            <w:szCs w:val="22"/>
            <w:u w:val="single"/>
            <w:lang w:val="es-ES" w:eastAsia="en-GB"/>
          </w:rPr>
          <w:t>https://www.boe.es/buscar/act.php?id=BOE-A-2024-11776</w:t>
        </w:r>
      </w:hyperlink>
      <w:r w:rsidR="0059444F" w:rsidRPr="00CF369C">
        <w:rPr>
          <w:noProof/>
          <w:sz w:val="22"/>
          <w:szCs w:val="22"/>
          <w:lang w:val="es-ES" w:eastAsia="en-GB"/>
        </w:rPr>
        <w:t>.</w:t>
      </w:r>
    </w:p>
    <w:p w14:paraId="44E840AB" w14:textId="2DD35A9E" w:rsidR="00933ED2" w:rsidRPr="00933ED2" w:rsidRDefault="00933ED2" w:rsidP="00933ED2">
      <w:pPr>
        <w:spacing w:after="120"/>
        <w:rPr>
          <w:noProof/>
          <w:sz w:val="22"/>
          <w:szCs w:val="22"/>
          <w:lang w:val="es-ES" w:eastAsia="en-GB"/>
        </w:rPr>
      </w:pPr>
      <w:r w:rsidRPr="00933ED2">
        <w:rPr>
          <w:noProof/>
          <w:sz w:val="22"/>
          <w:szCs w:val="22"/>
          <w:lang w:val="es-ES" w:eastAsia="en-GB"/>
        </w:rPr>
        <w:t>Organic Law 1/2025, of 2 January 2025, on measures relating to the efficiency of the Public Justice Service (</w:t>
      </w:r>
      <w:r w:rsidRPr="00933ED2">
        <w:rPr>
          <w:i/>
          <w:iCs/>
          <w:noProof/>
          <w:sz w:val="22"/>
          <w:szCs w:val="22"/>
          <w:lang w:val="es-ES" w:eastAsia="en-GB"/>
        </w:rPr>
        <w:t>Ley Orgánica 1/2025, de 2 de enero, de medidas en materia de eficiencia del Servicio Público de Justicia</w:t>
      </w:r>
      <w:r w:rsidRPr="00933ED2">
        <w:rPr>
          <w:noProof/>
          <w:sz w:val="22"/>
          <w:szCs w:val="22"/>
          <w:lang w:val="es-ES" w:eastAsia="en-GB"/>
        </w:rPr>
        <w:t xml:space="preserve">), </w:t>
      </w:r>
      <w:hyperlink r:id="rId73" w:history="1">
        <w:r w:rsidRPr="00933ED2">
          <w:rPr>
            <w:noProof/>
            <w:color w:val="0563C1" w:themeColor="hyperlink"/>
            <w:sz w:val="22"/>
            <w:szCs w:val="22"/>
            <w:u w:val="single"/>
            <w:lang w:val="es-ES" w:eastAsia="en-GB"/>
          </w:rPr>
          <w:t>https://www.boe.es/buscar/act.php?id=BOE-A-2025-76</w:t>
        </w:r>
      </w:hyperlink>
      <w:r w:rsidR="0059444F" w:rsidRPr="00CF369C">
        <w:rPr>
          <w:noProof/>
          <w:sz w:val="22"/>
          <w:szCs w:val="22"/>
          <w:lang w:val="es-ES" w:eastAsia="en-GB"/>
        </w:rPr>
        <w:t>.</w:t>
      </w:r>
    </w:p>
    <w:p w14:paraId="0099B00E" w14:textId="22FC0F37" w:rsidR="00B33151" w:rsidRPr="003E7BD9" w:rsidRDefault="00B33151" w:rsidP="00986496">
      <w:pPr>
        <w:spacing w:after="120"/>
        <w:rPr>
          <w:noProof/>
          <w:sz w:val="22"/>
          <w:szCs w:val="22"/>
          <w:lang w:val="en-IE" w:eastAsia="en-GB"/>
        </w:rPr>
      </w:pPr>
      <w:r w:rsidRPr="003E7BD9">
        <w:rPr>
          <w:noProof/>
          <w:sz w:val="22"/>
          <w:szCs w:val="22"/>
          <w:lang w:eastAsia="en-GB"/>
        </w:rPr>
        <w:t xml:space="preserve">Platform </w:t>
      </w:r>
      <w:r w:rsidR="008D585D" w:rsidRPr="003E7BD9">
        <w:rPr>
          <w:noProof/>
          <w:sz w:val="22"/>
          <w:szCs w:val="22"/>
          <w:lang w:eastAsia="en-GB"/>
        </w:rPr>
        <w:t xml:space="preserve">for the Defence of </w:t>
      </w:r>
      <w:r w:rsidR="008D585D">
        <w:rPr>
          <w:noProof/>
          <w:sz w:val="22"/>
          <w:szCs w:val="22"/>
          <w:lang w:eastAsia="en-GB"/>
        </w:rPr>
        <w:t>F</w:t>
      </w:r>
      <w:r w:rsidR="008D585D" w:rsidRPr="003E7BD9">
        <w:rPr>
          <w:noProof/>
          <w:sz w:val="22"/>
          <w:szCs w:val="22"/>
          <w:lang w:eastAsia="en-GB"/>
        </w:rPr>
        <w:t xml:space="preserve">reedom of </w:t>
      </w:r>
      <w:r w:rsidR="008D585D">
        <w:rPr>
          <w:noProof/>
          <w:sz w:val="22"/>
          <w:szCs w:val="22"/>
          <w:lang w:eastAsia="en-GB"/>
        </w:rPr>
        <w:t>I</w:t>
      </w:r>
      <w:r w:rsidR="008D585D" w:rsidRPr="003E7BD9">
        <w:rPr>
          <w:noProof/>
          <w:sz w:val="22"/>
          <w:szCs w:val="22"/>
          <w:lang w:eastAsia="en-GB"/>
        </w:rPr>
        <w:t>nformation</w:t>
      </w:r>
      <w:r w:rsidR="008D585D">
        <w:rPr>
          <w:noProof/>
          <w:sz w:val="22"/>
          <w:szCs w:val="22"/>
          <w:lang w:eastAsia="en-GB"/>
        </w:rPr>
        <w:t xml:space="preserve"> (2026), </w:t>
      </w:r>
      <w:r w:rsidR="00EA71F5" w:rsidRPr="00EA71F5">
        <w:rPr>
          <w:noProof/>
          <w:sz w:val="22"/>
          <w:szCs w:val="22"/>
          <w:lang w:eastAsia="en-GB"/>
        </w:rPr>
        <w:t>Freedom</w:t>
      </w:r>
      <w:r w:rsidR="00EA71F5">
        <w:rPr>
          <w:noProof/>
          <w:sz w:val="22"/>
          <w:szCs w:val="22"/>
          <w:lang w:eastAsia="en-GB"/>
        </w:rPr>
        <w:t xml:space="preserve"> </w:t>
      </w:r>
      <w:r w:rsidR="00EA71F5" w:rsidRPr="00EA71F5">
        <w:rPr>
          <w:noProof/>
          <w:sz w:val="22"/>
          <w:szCs w:val="22"/>
          <w:lang w:eastAsia="en-GB"/>
        </w:rPr>
        <w:t>of Information</w:t>
      </w:r>
      <w:r w:rsidR="00EA71F5">
        <w:rPr>
          <w:noProof/>
          <w:sz w:val="22"/>
          <w:szCs w:val="22"/>
          <w:lang w:eastAsia="en-GB"/>
        </w:rPr>
        <w:t xml:space="preserve"> i</w:t>
      </w:r>
      <w:r w:rsidR="00EA71F5" w:rsidRPr="00EA71F5">
        <w:rPr>
          <w:noProof/>
          <w:sz w:val="22"/>
          <w:szCs w:val="22"/>
          <w:lang w:eastAsia="en-GB"/>
        </w:rPr>
        <w:t>n Spain</w:t>
      </w:r>
      <w:r w:rsidR="00EA71F5">
        <w:rPr>
          <w:noProof/>
          <w:sz w:val="22"/>
          <w:szCs w:val="22"/>
          <w:lang w:eastAsia="en-GB"/>
        </w:rPr>
        <w:t xml:space="preserve">, </w:t>
      </w:r>
      <w:r w:rsidR="00EA71F5" w:rsidRPr="00EA71F5">
        <w:rPr>
          <w:noProof/>
          <w:sz w:val="22"/>
          <w:szCs w:val="22"/>
          <w:lang w:eastAsia="en-GB"/>
        </w:rPr>
        <w:t>2025 Review</w:t>
      </w:r>
      <w:r w:rsidR="00EA71F5">
        <w:rPr>
          <w:noProof/>
          <w:sz w:val="22"/>
          <w:szCs w:val="22"/>
          <w:lang w:eastAsia="en-GB"/>
        </w:rPr>
        <w:t xml:space="preserve"> (</w:t>
      </w:r>
      <w:r w:rsidR="00986496" w:rsidRPr="003E7BD9">
        <w:rPr>
          <w:i/>
          <w:iCs/>
          <w:noProof/>
          <w:sz w:val="22"/>
          <w:szCs w:val="22"/>
          <w:lang w:eastAsia="en-GB"/>
        </w:rPr>
        <w:t xml:space="preserve">La Libertad </w:t>
      </w:r>
      <w:r w:rsidR="00986496" w:rsidRPr="003E7BD9">
        <w:rPr>
          <w:i/>
          <w:iCs/>
          <w:noProof/>
          <w:sz w:val="22"/>
          <w:szCs w:val="22"/>
          <w:lang w:val="en-IE" w:eastAsia="en-GB"/>
        </w:rPr>
        <w:t>de Información en España, Balance 2025</w:t>
      </w:r>
      <w:r w:rsidR="00986496">
        <w:rPr>
          <w:noProof/>
          <w:sz w:val="22"/>
          <w:szCs w:val="22"/>
          <w:lang w:val="en-IE" w:eastAsia="en-GB"/>
        </w:rPr>
        <w:t xml:space="preserve">), </w:t>
      </w:r>
      <w:r w:rsidR="00C64071">
        <w:rPr>
          <w:noProof/>
          <w:sz w:val="22"/>
          <w:szCs w:val="22"/>
          <w:lang w:val="en-IE" w:eastAsia="en-GB"/>
        </w:rPr>
        <w:t xml:space="preserve">13 January 2026, </w:t>
      </w:r>
      <w:hyperlink r:id="rId74" w:history="1">
        <w:r w:rsidR="00D776F4" w:rsidRPr="004A7000">
          <w:rPr>
            <w:rStyle w:val="Hyperlink"/>
            <w:noProof/>
            <w:sz w:val="22"/>
            <w:szCs w:val="22"/>
            <w:lang w:val="en-IE" w:eastAsia="en-GB"/>
          </w:rPr>
          <w:t>https://libertadinformacion.cc/wp-content/uploads/2026/01/Balance-2025_libertad-informacion-Espana.pdf</w:t>
        </w:r>
      </w:hyperlink>
      <w:r w:rsidR="00D776F4">
        <w:rPr>
          <w:noProof/>
          <w:sz w:val="22"/>
          <w:szCs w:val="22"/>
          <w:lang w:val="en-IE" w:eastAsia="en-GB"/>
        </w:rPr>
        <w:t xml:space="preserve"> </w:t>
      </w:r>
    </w:p>
    <w:p w14:paraId="1D05B8B0" w14:textId="5F55FB61"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Professional Association of Magistracy (2026), </w:t>
      </w:r>
      <w:r w:rsidRPr="00933ED2">
        <w:rPr>
          <w:i/>
          <w:iCs/>
          <w:noProof/>
          <w:sz w:val="22"/>
          <w:szCs w:val="22"/>
          <w:lang w:val="en-US" w:eastAsia="en-GB"/>
        </w:rPr>
        <w:t>Input from Professional Association of Magistracy for the 2026 Rule of Law Report</w:t>
      </w:r>
      <w:r w:rsidRPr="00933ED2">
        <w:rPr>
          <w:noProof/>
          <w:sz w:val="22"/>
          <w:szCs w:val="22"/>
          <w:lang w:val="en-US" w:eastAsia="en-GB"/>
        </w:rPr>
        <w:t>.</w:t>
      </w:r>
    </w:p>
    <w:p w14:paraId="7F8B063C" w14:textId="77777777" w:rsidR="00933ED2" w:rsidRPr="00933ED2" w:rsidRDefault="00933ED2" w:rsidP="00933ED2">
      <w:pPr>
        <w:spacing w:after="120"/>
        <w:rPr>
          <w:noProof/>
          <w:sz w:val="22"/>
          <w:szCs w:val="22"/>
          <w:lang w:val="en-US" w:eastAsia="en-GB"/>
        </w:rPr>
      </w:pPr>
      <w:r w:rsidRPr="00933ED2">
        <w:rPr>
          <w:noProof/>
          <w:sz w:val="22"/>
          <w:szCs w:val="22"/>
          <w:lang w:val="en-US" w:eastAsia="en-GB"/>
        </w:rPr>
        <w:t>Regulation (EU) 2024/1083 of the European Parliament and of the Council of 11 April 2024 establishing a common framework for media services in the internal market and amending Directive 2010/13/EU (European Media Freedom Act).</w:t>
      </w:r>
    </w:p>
    <w:p w14:paraId="137B24E2" w14:textId="430B277D" w:rsidR="00933ED2" w:rsidRPr="00933ED2" w:rsidRDefault="00933ED2" w:rsidP="00933ED2">
      <w:pPr>
        <w:spacing w:after="120"/>
        <w:rPr>
          <w:noProof/>
          <w:sz w:val="22"/>
          <w:szCs w:val="22"/>
          <w:lang w:val="en-US" w:eastAsia="en-GB"/>
        </w:rPr>
      </w:pPr>
      <w:r w:rsidRPr="00933ED2">
        <w:rPr>
          <w:noProof/>
          <w:sz w:val="22"/>
          <w:szCs w:val="22"/>
          <w:lang w:val="en-US" w:eastAsia="en-GB"/>
        </w:rPr>
        <w:t>Royal Decree-Law 5/2024, of 22 October, amending Law 17/2006, of 5 June, on state-owned radio and television, to adopt urgent measures relating to the legal regime applicable to the RTVE Corporation</w:t>
      </w:r>
      <w:r w:rsidR="0059444F" w:rsidRPr="00A86FA9">
        <w:rPr>
          <w:noProof/>
          <w:sz w:val="22"/>
          <w:szCs w:val="22"/>
          <w:lang w:val="en-US" w:eastAsia="en-GB"/>
        </w:rPr>
        <w:t>.</w:t>
      </w:r>
    </w:p>
    <w:p w14:paraId="7642B9F4" w14:textId="3F990BFF"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Senate (2025), </w:t>
      </w:r>
      <w:r w:rsidRPr="003617AA">
        <w:rPr>
          <w:noProof/>
          <w:sz w:val="22"/>
          <w:szCs w:val="22"/>
          <w:lang w:val="en-US" w:eastAsia="en-GB"/>
        </w:rPr>
        <w:t xml:space="preserve">Proposal for an Organic Law amending Organic Law 6/1985, of 1 July, on the Judiciary, on the modification of the model of election of the members of the Council for the Judiciary </w:t>
      </w:r>
      <w:r w:rsidR="003617AA">
        <w:rPr>
          <w:noProof/>
          <w:sz w:val="22"/>
          <w:szCs w:val="22"/>
          <w:lang w:val="en-US" w:eastAsia="en-GB"/>
        </w:rPr>
        <w:t>(</w:t>
      </w:r>
      <w:r w:rsidR="003617AA" w:rsidRPr="003617AA">
        <w:rPr>
          <w:i/>
          <w:iCs/>
          <w:noProof/>
          <w:sz w:val="22"/>
          <w:szCs w:val="22"/>
          <w:lang w:val="en-US" w:eastAsia="en-GB"/>
        </w:rPr>
        <w:t>Proposición de Ley Orgánica de modificación de la Ley Orgánica 6/1985, de 1 de julio, del Poder Judicial, para el cambio del modelo de elección de los vocales del Consejo General del Poder Judicial</w:t>
      </w:r>
      <w:r w:rsidR="003617AA" w:rsidRPr="003617AA">
        <w:rPr>
          <w:noProof/>
          <w:sz w:val="22"/>
          <w:szCs w:val="22"/>
          <w:lang w:val="en-US" w:eastAsia="en-GB"/>
        </w:rPr>
        <w:t>)</w:t>
      </w:r>
      <w:r w:rsidR="003617AA">
        <w:rPr>
          <w:i/>
          <w:iCs/>
          <w:noProof/>
          <w:sz w:val="22"/>
          <w:szCs w:val="22"/>
          <w:lang w:val="en-US" w:eastAsia="en-GB"/>
        </w:rPr>
        <w:t xml:space="preserve"> </w:t>
      </w:r>
      <w:r w:rsidRPr="00933ED2">
        <w:rPr>
          <w:noProof/>
          <w:sz w:val="22"/>
          <w:szCs w:val="22"/>
          <w:lang w:val="en-US" w:eastAsia="en-GB"/>
        </w:rPr>
        <w:t xml:space="preserve">(622/000090), </w:t>
      </w:r>
      <w:r w:rsidR="009E2464">
        <w:rPr>
          <w:noProof/>
          <w:sz w:val="22"/>
          <w:szCs w:val="22"/>
          <w:lang w:val="en-US" w:eastAsia="en-GB"/>
        </w:rPr>
        <w:t xml:space="preserve">6 November </w:t>
      </w:r>
      <w:r w:rsidR="001E63EB">
        <w:rPr>
          <w:noProof/>
          <w:sz w:val="22"/>
          <w:szCs w:val="22"/>
          <w:lang w:val="en-US" w:eastAsia="en-GB"/>
        </w:rPr>
        <w:t xml:space="preserve">2025, </w:t>
      </w:r>
      <w:hyperlink r:id="rId75" w:history="1">
        <w:r w:rsidR="007308FB" w:rsidRPr="00895927">
          <w:rPr>
            <w:rStyle w:val="Hyperlink"/>
            <w:noProof/>
            <w:sz w:val="22"/>
            <w:szCs w:val="22"/>
            <w:lang w:val="en-US" w:eastAsia="en-GB"/>
          </w:rPr>
          <w:t>https://www.senado.es/web/actividadparlamentaria/iniciativas/detalleiniciativa/index.html?legis=15&amp;id1=622&amp;id2=000090</w:t>
        </w:r>
      </w:hyperlink>
      <w:r w:rsidR="0059444F" w:rsidRPr="00A86FA9">
        <w:rPr>
          <w:noProof/>
          <w:sz w:val="22"/>
          <w:szCs w:val="22"/>
          <w:lang w:val="en-US" w:eastAsia="en-GB"/>
        </w:rPr>
        <w:t>.</w:t>
      </w:r>
      <w:r w:rsidRPr="00933ED2">
        <w:rPr>
          <w:rFonts w:eastAsiaTheme="minorHAnsi"/>
          <w:noProof/>
          <w:sz w:val="22"/>
          <w:szCs w:val="22"/>
          <w:lang w:val="en-US" w:eastAsia="en-US"/>
        </w:rPr>
        <w:fldChar w:fldCharType="begin"/>
      </w:r>
      <w:r w:rsidRPr="00933ED2">
        <w:rPr>
          <w:rFonts w:eastAsiaTheme="minorHAnsi"/>
          <w:noProof/>
          <w:sz w:val="22"/>
          <w:szCs w:val="22"/>
          <w:lang w:val="en-US" w:eastAsia="en-US"/>
        </w:rPr>
        <w:instrText>https://www.senado.es/web/actividadparlamentaria/iniciativas/detalleiniciativa/index.html?legis=15&amp;id1=622&amp;id2=000090"</w:instrText>
      </w:r>
      <w:r w:rsidRPr="00933ED2">
        <w:rPr>
          <w:rFonts w:eastAsiaTheme="minorHAnsi"/>
          <w:noProof/>
          <w:sz w:val="22"/>
          <w:szCs w:val="22"/>
          <w:lang w:val="en-US" w:eastAsia="en-US"/>
        </w:rPr>
        <w:fldChar w:fldCharType="separate"/>
      </w:r>
      <w:r w:rsidRPr="00933ED2">
        <w:rPr>
          <w:noProof/>
          <w:color w:val="0563C1" w:themeColor="hyperlink"/>
          <w:sz w:val="22"/>
          <w:szCs w:val="22"/>
          <w:u w:val="single"/>
          <w:lang w:val="en-US" w:eastAsia="en-GB"/>
        </w:rPr>
        <w:t>https://www.senado.es/web/actividadparlamentaria/iniciativas/detalleiniciativa/index.html?legis=15&amp;id1=622&amp;id2=000090</w:t>
      </w:r>
      <w:r w:rsidRPr="00933ED2">
        <w:rPr>
          <w:rFonts w:eastAsiaTheme="minorHAnsi"/>
          <w:noProof/>
          <w:sz w:val="22"/>
          <w:szCs w:val="22"/>
          <w:lang w:val="en-US" w:eastAsia="en-US"/>
        </w:rPr>
        <w:fldChar w:fldCharType="end"/>
      </w:r>
    </w:p>
    <w:p w14:paraId="78E4CD42" w14:textId="77777777"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Spanish Chamber of Commerce (2026), </w:t>
      </w:r>
      <w:r w:rsidRPr="00933ED2">
        <w:rPr>
          <w:i/>
          <w:iCs/>
          <w:noProof/>
          <w:sz w:val="22"/>
          <w:szCs w:val="22"/>
          <w:lang w:val="en-US" w:eastAsia="en-GB"/>
        </w:rPr>
        <w:t>Input from the Spanish Chamber of Commerce for the 2026 Rule of Law Report.</w:t>
      </w:r>
    </w:p>
    <w:p w14:paraId="7CA3547C" w14:textId="77777777" w:rsidR="00933ED2" w:rsidRPr="00933ED2" w:rsidRDefault="00933ED2" w:rsidP="00933ED2">
      <w:pPr>
        <w:spacing w:after="120"/>
        <w:rPr>
          <w:i/>
          <w:iCs/>
          <w:noProof/>
          <w:sz w:val="22"/>
          <w:szCs w:val="22"/>
          <w:lang w:val="en-US" w:eastAsia="en-GB"/>
        </w:rPr>
      </w:pPr>
      <w:r w:rsidRPr="00933ED2">
        <w:rPr>
          <w:noProof/>
          <w:sz w:val="22"/>
          <w:szCs w:val="22"/>
          <w:lang w:val="en-US" w:eastAsia="en-GB"/>
        </w:rPr>
        <w:t xml:space="preserve">Spanish Government (2026), </w:t>
      </w:r>
      <w:r w:rsidRPr="00933ED2">
        <w:rPr>
          <w:i/>
          <w:iCs/>
          <w:noProof/>
          <w:sz w:val="22"/>
          <w:szCs w:val="22"/>
          <w:lang w:val="en-US" w:eastAsia="en-GB"/>
        </w:rPr>
        <w:t>Input from Spain for the 2026 Rule of Law Report.</w:t>
      </w:r>
    </w:p>
    <w:p w14:paraId="20ED0E76" w14:textId="77777777" w:rsidR="00933ED2" w:rsidRPr="00933ED2" w:rsidRDefault="00933ED2" w:rsidP="00933ED2">
      <w:pPr>
        <w:spacing w:after="120"/>
        <w:rPr>
          <w:i/>
          <w:noProof/>
          <w:sz w:val="22"/>
          <w:szCs w:val="22"/>
          <w:lang w:val="en-US" w:eastAsia="en-GB"/>
        </w:rPr>
      </w:pPr>
      <w:r w:rsidRPr="00933ED2">
        <w:rPr>
          <w:noProof/>
          <w:sz w:val="22"/>
          <w:szCs w:val="22"/>
          <w:lang w:val="en-US" w:eastAsia="en-GB"/>
        </w:rPr>
        <w:t xml:space="preserve">Spanish Government (2026a), </w:t>
      </w:r>
      <w:r w:rsidRPr="00933ED2">
        <w:rPr>
          <w:i/>
          <w:noProof/>
          <w:sz w:val="22"/>
          <w:szCs w:val="22"/>
          <w:lang w:val="en-US" w:eastAsia="en-GB"/>
        </w:rPr>
        <w:t>Additional written input from Spain for the 2026 Rule of Law Report.</w:t>
      </w:r>
    </w:p>
    <w:p w14:paraId="4150909F" w14:textId="77777777" w:rsidR="00933ED2" w:rsidRDefault="00933ED2" w:rsidP="00933ED2">
      <w:pPr>
        <w:spacing w:after="120"/>
        <w:rPr>
          <w:i/>
          <w:noProof/>
          <w:sz w:val="22"/>
          <w:szCs w:val="22"/>
          <w:lang w:val="en-US" w:eastAsia="en-GB"/>
        </w:rPr>
      </w:pPr>
      <w:r w:rsidRPr="00933ED2">
        <w:rPr>
          <w:noProof/>
          <w:sz w:val="22"/>
          <w:szCs w:val="22"/>
          <w:lang w:val="en-US" w:eastAsia="en-GB"/>
        </w:rPr>
        <w:t xml:space="preserve">Spanish Government (2026b), </w:t>
      </w:r>
      <w:r w:rsidRPr="00933ED2">
        <w:rPr>
          <w:i/>
          <w:noProof/>
          <w:sz w:val="22"/>
          <w:szCs w:val="22"/>
          <w:lang w:val="en-US" w:eastAsia="en-GB"/>
        </w:rPr>
        <w:t>Additional written input from Spain for the 2026 Rule of Law Report.</w:t>
      </w:r>
    </w:p>
    <w:p w14:paraId="1C1D213A" w14:textId="781F41AC" w:rsidR="00AE086E" w:rsidRPr="00933ED2" w:rsidRDefault="00AE086E" w:rsidP="00933ED2">
      <w:pPr>
        <w:spacing w:after="120"/>
        <w:rPr>
          <w:i/>
          <w:iCs/>
          <w:noProof/>
          <w:sz w:val="22"/>
          <w:szCs w:val="22"/>
          <w:lang w:val="en-US" w:eastAsia="en-GB"/>
        </w:rPr>
      </w:pPr>
      <w:r w:rsidRPr="003E7BD9">
        <w:rPr>
          <w:noProof/>
          <w:sz w:val="22"/>
          <w:szCs w:val="22"/>
          <w:lang w:val="en-US" w:eastAsia="en-GB"/>
        </w:rPr>
        <w:t>Spanish Government (2026c)</w:t>
      </w:r>
      <w:r w:rsidRPr="0072491D">
        <w:rPr>
          <w:i/>
          <w:noProof/>
          <w:sz w:val="22"/>
          <w:szCs w:val="22"/>
          <w:lang w:val="en-US" w:eastAsia="en-GB"/>
        </w:rPr>
        <w:t>, Additional written input from Spain for the 2026 Rule of Law Report</w:t>
      </w:r>
      <w:r w:rsidR="00733214" w:rsidRPr="003E7BD9">
        <w:rPr>
          <w:i/>
          <w:noProof/>
          <w:sz w:val="22"/>
          <w:szCs w:val="22"/>
          <w:lang w:val="en-US" w:eastAsia="en-GB"/>
        </w:rPr>
        <w:t xml:space="preserve">, factual comments to the draft </w:t>
      </w:r>
      <w:r w:rsidR="0041380E" w:rsidRPr="003E7BD9">
        <w:rPr>
          <w:i/>
          <w:noProof/>
          <w:sz w:val="22"/>
          <w:szCs w:val="22"/>
          <w:lang w:val="en-US" w:eastAsia="en-GB"/>
        </w:rPr>
        <w:t>chapter</w:t>
      </w:r>
      <w:r w:rsidRPr="0072491D">
        <w:rPr>
          <w:i/>
          <w:noProof/>
          <w:sz w:val="22"/>
          <w:szCs w:val="22"/>
          <w:lang w:val="en-US" w:eastAsia="en-GB"/>
        </w:rPr>
        <w:t>.</w:t>
      </w:r>
    </w:p>
    <w:p w14:paraId="4AC8EFBD" w14:textId="041F7BA2"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Supreme Court (2025), judgment of 9 December 2025, 5365/2025, ECLI:ES:TS:2025:5365, </w:t>
      </w:r>
      <w:hyperlink r:id="rId76" w:history="1">
        <w:r w:rsidRPr="00933ED2">
          <w:rPr>
            <w:noProof/>
            <w:color w:val="0563C1" w:themeColor="hyperlink"/>
            <w:sz w:val="22"/>
            <w:szCs w:val="22"/>
            <w:u w:val="single"/>
            <w:lang w:val="en-US" w:eastAsia="en-GB"/>
          </w:rPr>
          <w:t>https://www.poderjudicial.es/search/AN/openDocument/0217b6148cd22fb2a0a8778d75e36f0d/20251210</w:t>
        </w:r>
      </w:hyperlink>
      <w:r w:rsidR="0059444F" w:rsidRPr="00A86FA9">
        <w:rPr>
          <w:noProof/>
          <w:sz w:val="22"/>
          <w:szCs w:val="22"/>
          <w:lang w:val="en-US" w:eastAsia="en-GB"/>
        </w:rPr>
        <w:t>.</w:t>
      </w:r>
      <w:r w:rsidRPr="00933ED2">
        <w:rPr>
          <w:noProof/>
          <w:sz w:val="22"/>
          <w:szCs w:val="22"/>
          <w:lang w:val="en-US" w:eastAsia="en-GB"/>
        </w:rPr>
        <w:t xml:space="preserve"> </w:t>
      </w:r>
    </w:p>
    <w:p w14:paraId="19A2068C" w14:textId="77777777" w:rsidR="00933ED2" w:rsidRPr="00933ED2" w:rsidRDefault="00933ED2" w:rsidP="00933ED2">
      <w:pPr>
        <w:spacing w:after="120"/>
        <w:rPr>
          <w:i/>
          <w:noProof/>
          <w:sz w:val="22"/>
          <w:szCs w:val="22"/>
          <w:lang w:eastAsia="en-GB"/>
        </w:rPr>
      </w:pPr>
      <w:r w:rsidRPr="00933ED2">
        <w:rPr>
          <w:noProof/>
          <w:sz w:val="22"/>
          <w:szCs w:val="22"/>
          <w:lang w:val="en-US" w:eastAsia="en-GB"/>
        </w:rPr>
        <w:t xml:space="preserve">Technical Cabinet of the Supreme Court (2026), </w:t>
      </w:r>
      <w:r w:rsidRPr="00933ED2">
        <w:rPr>
          <w:i/>
          <w:noProof/>
          <w:sz w:val="22"/>
          <w:szCs w:val="22"/>
          <w:lang w:val="en-US" w:eastAsia="en-GB"/>
        </w:rPr>
        <w:t>Input from the Technical Cabinet of the Supreme Court for the 2026 Rule of Law Report.</w:t>
      </w:r>
    </w:p>
    <w:p w14:paraId="77E1D703" w14:textId="77777777" w:rsidR="00933ED2" w:rsidRPr="00933ED2" w:rsidRDefault="00933ED2" w:rsidP="00933ED2">
      <w:pPr>
        <w:spacing w:after="120"/>
        <w:rPr>
          <w:i/>
          <w:iCs/>
          <w:noProof/>
          <w:sz w:val="22"/>
          <w:szCs w:val="22"/>
          <w:lang w:val="en-US" w:eastAsia="en-GB"/>
        </w:rPr>
      </w:pPr>
      <w:r w:rsidRPr="00933ED2">
        <w:rPr>
          <w:noProof/>
          <w:sz w:val="22"/>
          <w:szCs w:val="22"/>
          <w:lang w:val="en-US" w:eastAsia="en-GB"/>
        </w:rPr>
        <w:t xml:space="preserve">Technical Cabinet of the Supreme Court (2026a), </w:t>
      </w:r>
      <w:r w:rsidRPr="00933ED2">
        <w:rPr>
          <w:i/>
          <w:noProof/>
          <w:sz w:val="22"/>
          <w:szCs w:val="22"/>
          <w:lang w:val="en-US" w:eastAsia="en-GB"/>
        </w:rPr>
        <w:t>additional written input from the Technical Cabinet of the Supreme Court for the 202</w:t>
      </w:r>
      <w:r w:rsidRPr="00933ED2">
        <w:rPr>
          <w:i/>
          <w:iCs/>
          <w:noProof/>
          <w:sz w:val="22"/>
          <w:szCs w:val="22"/>
          <w:lang w:val="en-US" w:eastAsia="en-GB"/>
        </w:rPr>
        <w:t xml:space="preserve">6 </w:t>
      </w:r>
      <w:r w:rsidRPr="00933ED2">
        <w:rPr>
          <w:i/>
          <w:noProof/>
          <w:sz w:val="22"/>
          <w:szCs w:val="22"/>
          <w:lang w:val="en-US" w:eastAsia="en-GB"/>
        </w:rPr>
        <w:t>Rule of Law Report.</w:t>
      </w:r>
    </w:p>
    <w:p w14:paraId="2E028A19" w14:textId="77777777" w:rsidR="00933ED2" w:rsidRPr="00933ED2" w:rsidRDefault="00933ED2" w:rsidP="00933ED2">
      <w:pPr>
        <w:spacing w:after="120"/>
        <w:rPr>
          <w:i/>
          <w:noProof/>
          <w:sz w:val="22"/>
          <w:szCs w:val="22"/>
          <w:lang w:eastAsia="en-GB"/>
        </w:rPr>
      </w:pPr>
      <w:r w:rsidRPr="00933ED2">
        <w:rPr>
          <w:noProof/>
          <w:sz w:val="22"/>
          <w:szCs w:val="22"/>
          <w:lang w:eastAsia="en-GB"/>
        </w:rPr>
        <w:t xml:space="preserve">Technical Cabinet of the Prosecutor General’s Office (2026), </w:t>
      </w:r>
      <w:r w:rsidRPr="00933ED2">
        <w:rPr>
          <w:i/>
          <w:iCs/>
          <w:noProof/>
          <w:sz w:val="22"/>
          <w:szCs w:val="22"/>
          <w:lang w:val="en-US" w:eastAsia="en-GB"/>
        </w:rPr>
        <w:t xml:space="preserve">Input from the Technical Cabinet </w:t>
      </w:r>
      <w:r w:rsidRPr="00933ED2">
        <w:rPr>
          <w:i/>
          <w:noProof/>
          <w:sz w:val="22"/>
          <w:szCs w:val="22"/>
          <w:lang w:eastAsia="en-GB"/>
        </w:rPr>
        <w:t>of the Prosecutor General’s Office</w:t>
      </w:r>
      <w:r w:rsidRPr="00933ED2">
        <w:rPr>
          <w:i/>
          <w:iCs/>
          <w:noProof/>
          <w:sz w:val="22"/>
          <w:szCs w:val="22"/>
          <w:lang w:val="en-US" w:eastAsia="en-GB"/>
        </w:rPr>
        <w:t xml:space="preserve"> for the 2026 Rule of Law Report.</w:t>
      </w:r>
    </w:p>
    <w:p w14:paraId="3278AC3C" w14:textId="77777777" w:rsidR="00933ED2" w:rsidRDefault="00933ED2" w:rsidP="00933ED2">
      <w:pPr>
        <w:spacing w:after="120"/>
        <w:rPr>
          <w:i/>
          <w:iCs/>
          <w:noProof/>
          <w:sz w:val="22"/>
          <w:szCs w:val="22"/>
          <w:lang w:val="en-US" w:eastAsia="en-GB"/>
        </w:rPr>
      </w:pPr>
      <w:r w:rsidRPr="00933ED2">
        <w:rPr>
          <w:noProof/>
          <w:sz w:val="22"/>
          <w:szCs w:val="22"/>
          <w:lang w:eastAsia="en-GB"/>
        </w:rPr>
        <w:t>Technical Cabinet of the Prosecutor General’s Office (2026a),</w:t>
      </w:r>
      <w:r w:rsidRPr="00933ED2">
        <w:rPr>
          <w:i/>
          <w:iCs/>
          <w:noProof/>
          <w:sz w:val="22"/>
          <w:szCs w:val="22"/>
          <w:lang w:val="en-US" w:eastAsia="en-GB"/>
        </w:rPr>
        <w:t xml:space="preserve"> additional written input from the Technical Cabinet </w:t>
      </w:r>
      <w:r w:rsidRPr="00933ED2">
        <w:rPr>
          <w:i/>
          <w:noProof/>
          <w:sz w:val="22"/>
          <w:szCs w:val="22"/>
          <w:lang w:eastAsia="en-GB"/>
        </w:rPr>
        <w:t>of the Prosecutor General’s Office for</w:t>
      </w:r>
      <w:r w:rsidRPr="00933ED2">
        <w:rPr>
          <w:i/>
          <w:iCs/>
          <w:noProof/>
          <w:sz w:val="22"/>
          <w:szCs w:val="22"/>
          <w:lang w:val="en-US" w:eastAsia="en-GB"/>
        </w:rPr>
        <w:t xml:space="preserve"> the 2026 Rule of Law Report.</w:t>
      </w:r>
    </w:p>
    <w:p w14:paraId="3C630322" w14:textId="2FE19201" w:rsidR="001C7924" w:rsidRPr="003E7BD9" w:rsidRDefault="001C7924" w:rsidP="00933ED2">
      <w:pPr>
        <w:spacing w:after="120"/>
        <w:rPr>
          <w:iCs/>
          <w:noProof/>
          <w:sz w:val="22"/>
          <w:szCs w:val="22"/>
          <w:lang w:val="en-US" w:eastAsia="en-GB"/>
        </w:rPr>
      </w:pPr>
      <w:r w:rsidRPr="00933ED2">
        <w:rPr>
          <w:noProof/>
          <w:sz w:val="22"/>
          <w:szCs w:val="22"/>
          <w:lang w:eastAsia="en-GB"/>
        </w:rPr>
        <w:t>Technical Cabinet of the Prosecutor General’s Office (2026</w:t>
      </w:r>
      <w:r>
        <w:rPr>
          <w:noProof/>
          <w:sz w:val="22"/>
          <w:szCs w:val="22"/>
          <w:lang w:eastAsia="en-GB"/>
        </w:rPr>
        <w:t>b</w:t>
      </w:r>
      <w:r w:rsidRPr="00933ED2">
        <w:rPr>
          <w:noProof/>
          <w:sz w:val="22"/>
          <w:szCs w:val="22"/>
          <w:lang w:eastAsia="en-GB"/>
        </w:rPr>
        <w:t>)</w:t>
      </w:r>
      <w:r>
        <w:rPr>
          <w:noProof/>
          <w:sz w:val="22"/>
          <w:szCs w:val="22"/>
          <w:lang w:eastAsia="en-GB"/>
        </w:rPr>
        <w:t xml:space="preserve">, </w:t>
      </w:r>
      <w:r w:rsidRPr="00933ED2">
        <w:rPr>
          <w:i/>
          <w:iCs/>
          <w:noProof/>
          <w:sz w:val="22"/>
          <w:szCs w:val="22"/>
          <w:lang w:val="en-US" w:eastAsia="en-GB"/>
        </w:rPr>
        <w:t xml:space="preserve">additional written input from the Technical Cabinet </w:t>
      </w:r>
      <w:r w:rsidRPr="00933ED2">
        <w:rPr>
          <w:i/>
          <w:noProof/>
          <w:sz w:val="22"/>
          <w:szCs w:val="22"/>
          <w:lang w:eastAsia="en-GB"/>
        </w:rPr>
        <w:t>of the Prosecutor General’s Office for</w:t>
      </w:r>
      <w:r w:rsidRPr="00933ED2">
        <w:rPr>
          <w:i/>
          <w:iCs/>
          <w:noProof/>
          <w:sz w:val="22"/>
          <w:szCs w:val="22"/>
          <w:lang w:val="en-US" w:eastAsia="en-GB"/>
        </w:rPr>
        <w:t xml:space="preserve"> the 2026 Rule of Law Report</w:t>
      </w:r>
      <w:r w:rsidR="00CC3F70">
        <w:rPr>
          <w:i/>
          <w:iCs/>
          <w:noProof/>
          <w:sz w:val="22"/>
          <w:szCs w:val="22"/>
          <w:lang w:val="en-US" w:eastAsia="en-GB"/>
        </w:rPr>
        <w:t xml:space="preserve"> </w:t>
      </w:r>
      <w:r w:rsidR="00CC3F70" w:rsidRPr="00CC3F70">
        <w:rPr>
          <w:i/>
          <w:iCs/>
          <w:noProof/>
          <w:sz w:val="22"/>
          <w:szCs w:val="22"/>
          <w:lang w:val="en-US" w:eastAsia="en-GB"/>
        </w:rPr>
        <w:t>regarding corruption case statistics</w:t>
      </w:r>
      <w:r>
        <w:rPr>
          <w:i/>
          <w:iCs/>
          <w:noProof/>
          <w:sz w:val="22"/>
          <w:szCs w:val="22"/>
          <w:lang w:val="en-US" w:eastAsia="en-GB"/>
        </w:rPr>
        <w:t>.</w:t>
      </w:r>
    </w:p>
    <w:p w14:paraId="5A745AC1" w14:textId="77777777" w:rsidR="00933ED2" w:rsidRPr="00933ED2" w:rsidRDefault="00933ED2" w:rsidP="00933ED2">
      <w:pPr>
        <w:spacing w:after="120"/>
        <w:rPr>
          <w:noProof/>
          <w:sz w:val="22"/>
          <w:szCs w:val="22"/>
          <w:lang w:val="en-US" w:eastAsia="en-GB"/>
        </w:rPr>
      </w:pPr>
      <w:r w:rsidRPr="00933ED2">
        <w:rPr>
          <w:noProof/>
          <w:sz w:val="22"/>
          <w:szCs w:val="22"/>
          <w:lang w:val="en-US" w:eastAsia="en-GB"/>
        </w:rPr>
        <w:t xml:space="preserve">Transparency Council (2026), </w:t>
      </w:r>
      <w:r w:rsidRPr="00933ED2">
        <w:rPr>
          <w:i/>
          <w:iCs/>
          <w:noProof/>
          <w:sz w:val="22"/>
          <w:szCs w:val="22"/>
          <w:lang w:val="en-US" w:eastAsia="en-GB"/>
        </w:rPr>
        <w:t>additional written input for the 2026 Rule of Law Report.</w:t>
      </w:r>
    </w:p>
    <w:p w14:paraId="3CCA799A" w14:textId="42AA363F" w:rsidR="00933ED2" w:rsidRPr="00933ED2" w:rsidRDefault="00933ED2" w:rsidP="00933ED2">
      <w:pPr>
        <w:spacing w:after="120"/>
        <w:rPr>
          <w:i/>
          <w:iCs/>
          <w:noProof/>
          <w:sz w:val="22"/>
          <w:szCs w:val="22"/>
          <w:lang w:eastAsia="en-GB"/>
        </w:rPr>
      </w:pPr>
      <w:r w:rsidRPr="00933ED2">
        <w:rPr>
          <w:noProof/>
          <w:sz w:val="22"/>
          <w:szCs w:val="22"/>
          <w:lang w:eastAsia="en-GB"/>
        </w:rPr>
        <w:t xml:space="preserve">Transparency International Spain (2025), </w:t>
      </w:r>
      <w:r w:rsidRPr="00933ED2">
        <w:rPr>
          <w:i/>
          <w:noProof/>
          <w:sz w:val="22"/>
          <w:szCs w:val="22"/>
          <w:lang w:eastAsia="en-GB"/>
        </w:rPr>
        <w:t>Strengthening integrity, Analysis and Observations on the Spanish Government's State Plan to Combat Corruption, 100 recommendations for a national anti-corruption strategy</w:t>
      </w:r>
      <w:r w:rsidR="0059444F" w:rsidRPr="00A86FA9">
        <w:rPr>
          <w:noProof/>
          <w:sz w:val="22"/>
          <w:szCs w:val="22"/>
          <w:lang w:val="en-US" w:eastAsia="en-GB"/>
        </w:rPr>
        <w:t>.</w:t>
      </w:r>
      <w:r w:rsidRPr="00933ED2">
        <w:rPr>
          <w:i/>
          <w:iCs/>
          <w:noProof/>
          <w:sz w:val="22"/>
          <w:szCs w:val="22"/>
          <w:lang w:eastAsia="en-GB"/>
        </w:rPr>
        <w:t xml:space="preserve"> </w:t>
      </w:r>
    </w:p>
    <w:p w14:paraId="3EA7DA78" w14:textId="77777777" w:rsidR="00933ED2" w:rsidRPr="00933ED2" w:rsidRDefault="00933ED2" w:rsidP="00933ED2">
      <w:pPr>
        <w:pageBreakBefore/>
        <w:spacing w:after="120" w:line="264" w:lineRule="auto"/>
        <w:rPr>
          <w:b/>
          <w:noProof/>
          <w:lang w:eastAsia="en-GB"/>
        </w:rPr>
      </w:pPr>
      <w:r w:rsidRPr="00933ED2">
        <w:rPr>
          <w:b/>
          <w:noProof/>
          <w:lang w:eastAsia="en-GB"/>
        </w:rPr>
        <w:t>Annex II: Country visit to Spain</w:t>
      </w:r>
    </w:p>
    <w:p w14:paraId="4874F90C" w14:textId="77777777" w:rsidR="00933ED2" w:rsidRPr="00933ED2" w:rsidRDefault="00933ED2" w:rsidP="00933ED2">
      <w:pPr>
        <w:spacing w:after="120" w:line="264" w:lineRule="auto"/>
        <w:rPr>
          <w:noProof/>
          <w:shd w:val="clear" w:color="auto" w:fill="FFFFFF"/>
          <w:lang w:eastAsia="en-GB"/>
        </w:rPr>
      </w:pPr>
      <w:r w:rsidRPr="00933ED2">
        <w:rPr>
          <w:noProof/>
          <w:lang w:eastAsia="en-GB"/>
        </w:rPr>
        <w:t>The Commission services held virtual meetings in February 2026 with:</w:t>
      </w:r>
    </w:p>
    <w:p w14:paraId="4A8317D4" w14:textId="77777777" w:rsidR="00933ED2" w:rsidRPr="00933ED2" w:rsidRDefault="00933ED2" w:rsidP="00933ED2">
      <w:pPr>
        <w:numPr>
          <w:ilvl w:val="0"/>
          <w:numId w:val="22"/>
        </w:numPr>
        <w:spacing w:after="0" w:line="264" w:lineRule="auto"/>
        <w:ind w:left="714" w:hanging="357"/>
        <w:rPr>
          <w:noProof/>
          <w:lang w:val="es-ES" w:eastAsia="en-GB"/>
        </w:rPr>
      </w:pPr>
      <w:r w:rsidRPr="00933ED2">
        <w:rPr>
          <w:noProof/>
          <w:lang w:val="es-ES" w:eastAsia="en-GB"/>
        </w:rPr>
        <w:t>Association of “Abogados del Estado”</w:t>
      </w:r>
    </w:p>
    <w:p w14:paraId="2235EB05"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Association of European Journalists</w:t>
      </w:r>
    </w:p>
    <w:p w14:paraId="0985F1D7"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Association of Media Users</w:t>
      </w:r>
    </w:p>
    <w:p w14:paraId="729B8278"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Association of Prosecutors</w:t>
      </w:r>
    </w:p>
    <w:p w14:paraId="52E92CBB"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Association of Women Judges of Spain</w:t>
      </w:r>
    </w:p>
    <w:p w14:paraId="5665D494" w14:textId="77777777" w:rsidR="00933ED2" w:rsidRPr="00933ED2" w:rsidRDefault="00933ED2" w:rsidP="00933ED2">
      <w:pPr>
        <w:numPr>
          <w:ilvl w:val="0"/>
          <w:numId w:val="22"/>
        </w:numPr>
        <w:spacing w:after="0" w:line="264" w:lineRule="auto"/>
        <w:ind w:left="714" w:hanging="357"/>
        <w:rPr>
          <w:noProof/>
          <w:lang w:eastAsia="en-GB"/>
        </w:rPr>
      </w:pPr>
      <w:r w:rsidRPr="00933ED2">
        <w:rPr>
          <w:rFonts w:cs="Calibri"/>
          <w:noProof/>
          <w:szCs w:val="22"/>
          <w:lang w:eastAsia="en-IE"/>
        </w:rPr>
        <w:t>Authority for the Protection of Whistleblowers</w:t>
      </w:r>
    </w:p>
    <w:p w14:paraId="1B991905"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Civic Platform for the Judicial Independence</w:t>
      </w:r>
    </w:p>
    <w:p w14:paraId="5B6193D4"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Civil Guard</w:t>
      </w:r>
    </w:p>
    <w:p w14:paraId="49712300"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Constitutional Court</w:t>
      </w:r>
    </w:p>
    <w:p w14:paraId="1458A1ED"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Coordinator of Non-Governmental Organisations for Development in Spain</w:t>
      </w:r>
    </w:p>
    <w:p w14:paraId="2748BC4B"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Council for the Judiciary</w:t>
      </w:r>
    </w:p>
    <w:p w14:paraId="2C6C4FC1"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Court of Auditors</w:t>
      </w:r>
    </w:p>
    <w:p w14:paraId="523C7608"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Foundation Hay Derecho</w:t>
      </w:r>
    </w:p>
    <w:p w14:paraId="7488DF5A"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General Council of Spanish Lawyers</w:t>
      </w:r>
    </w:p>
    <w:p w14:paraId="41ED86B7"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General Union of Workers (UGT)</w:t>
      </w:r>
    </w:p>
    <w:p w14:paraId="5056009B"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Independent Judicial Forum</w:t>
      </w:r>
    </w:p>
    <w:p w14:paraId="0E622A41" w14:textId="77777777" w:rsidR="00933ED2" w:rsidRPr="00933ED2" w:rsidRDefault="00933ED2" w:rsidP="00933ED2">
      <w:pPr>
        <w:numPr>
          <w:ilvl w:val="0"/>
          <w:numId w:val="22"/>
        </w:numPr>
        <w:spacing w:after="0" w:line="264" w:lineRule="auto"/>
        <w:ind w:left="714" w:hanging="357"/>
        <w:rPr>
          <w:noProof/>
          <w:lang w:val="pt-PT" w:eastAsia="en-GB"/>
        </w:rPr>
      </w:pPr>
      <w:r w:rsidRPr="00933ED2">
        <w:rPr>
          <w:rFonts w:eastAsiaTheme="minorHAnsi" w:cstheme="minorBidi"/>
          <w:noProof/>
          <w:szCs w:val="22"/>
          <w:lang w:val="en-US" w:eastAsia="en-US"/>
        </w:rPr>
        <w:t>Judges and Magistrates Association</w:t>
      </w:r>
      <w:r w:rsidRPr="00933ED2">
        <w:rPr>
          <w:noProof/>
          <w:lang w:val="pt-PT" w:eastAsia="en-GB"/>
        </w:rPr>
        <w:t xml:space="preserve"> “Francisco de Vitoria”</w:t>
      </w:r>
    </w:p>
    <w:p w14:paraId="66FBC153" w14:textId="77777777" w:rsidR="00933ED2" w:rsidRDefault="00933ED2" w:rsidP="00933ED2">
      <w:pPr>
        <w:numPr>
          <w:ilvl w:val="0"/>
          <w:numId w:val="22"/>
        </w:numPr>
        <w:spacing w:after="0" w:line="264" w:lineRule="auto"/>
        <w:ind w:left="714" w:hanging="357"/>
        <w:rPr>
          <w:noProof/>
          <w:lang w:eastAsia="en-GB"/>
        </w:rPr>
      </w:pPr>
      <w:r w:rsidRPr="00933ED2">
        <w:rPr>
          <w:noProof/>
          <w:lang w:eastAsia="en-GB"/>
        </w:rPr>
        <w:t>Judges for Democracy</w:t>
      </w:r>
    </w:p>
    <w:p w14:paraId="3521B674" w14:textId="10C7FD88" w:rsidR="00554757" w:rsidRPr="009D3519" w:rsidRDefault="00554757" w:rsidP="00933ED2">
      <w:pPr>
        <w:numPr>
          <w:ilvl w:val="0"/>
          <w:numId w:val="22"/>
        </w:numPr>
        <w:spacing w:after="0" w:line="264" w:lineRule="auto"/>
        <w:ind w:left="714" w:hanging="357"/>
        <w:rPr>
          <w:noProof/>
          <w:lang w:val="es-ES" w:eastAsia="en-GB"/>
        </w:rPr>
      </w:pPr>
      <w:r w:rsidRPr="009D3519">
        <w:rPr>
          <w:noProof/>
          <w:lang w:val="es-ES"/>
        </w:rPr>
        <w:t>Letrados de la Administración de Justicia (Rechtspfleger)</w:t>
      </w:r>
    </w:p>
    <w:p w14:paraId="63347274"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Ministry of Digital Transformation and Civil Service</w:t>
      </w:r>
    </w:p>
    <w:p w14:paraId="6E17BC28"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Ministry of Finance, Commerce and Companies</w:t>
      </w:r>
    </w:p>
    <w:p w14:paraId="1F9A3994"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Ministry of Foreign Affairs, European Union and Cooperation</w:t>
      </w:r>
    </w:p>
    <w:p w14:paraId="7A9F9DBB"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Ministry of Home Affairs</w:t>
      </w:r>
    </w:p>
    <w:p w14:paraId="58730D43"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Ministry of Presidency, Justice and Relations with the Parliament</w:t>
      </w:r>
    </w:p>
    <w:p w14:paraId="50D0A6C5"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National Commission of Markets and Competition</w:t>
      </w:r>
    </w:p>
    <w:p w14:paraId="1C31DE00"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National Police</w:t>
      </w:r>
    </w:p>
    <w:p w14:paraId="401E5787"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News Council of RTVE</w:t>
      </w:r>
    </w:p>
    <w:p w14:paraId="6710B25A"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Ombudsperson</w:t>
      </w:r>
    </w:p>
    <w:p w14:paraId="06971E82"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Platform “Tercer Sector”</w:t>
      </w:r>
    </w:p>
    <w:p w14:paraId="6E7A25B5" w14:textId="7D754B12"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 xml:space="preserve">Platform for </w:t>
      </w:r>
      <w:r w:rsidR="004E4A4F">
        <w:rPr>
          <w:noProof/>
          <w:lang w:eastAsia="en-GB"/>
        </w:rPr>
        <w:t xml:space="preserve">the Defence of </w:t>
      </w:r>
      <w:r w:rsidRPr="00933ED2">
        <w:rPr>
          <w:noProof/>
          <w:lang w:eastAsia="en-GB"/>
        </w:rPr>
        <w:t>Freedom of Information</w:t>
      </w:r>
    </w:p>
    <w:p w14:paraId="5F0591B4"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Professional and Independent Association of Prosecutors</w:t>
      </w:r>
    </w:p>
    <w:p w14:paraId="73B39774"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Professional Association of Magistracy (APM)</w:t>
      </w:r>
    </w:p>
    <w:p w14:paraId="4BC64104"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Progressive Union of Prosecutors</w:t>
      </w:r>
    </w:p>
    <w:p w14:paraId="0FB9044F"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Representatives of Congress and Senate</w:t>
      </w:r>
    </w:p>
    <w:p w14:paraId="47E6F39C"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Spanish Chamber of Commerce</w:t>
      </w:r>
    </w:p>
    <w:p w14:paraId="021C8842"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Spanish Confederation of Employers’ Organisations (CEOE)</w:t>
      </w:r>
    </w:p>
    <w:p w14:paraId="1BA404A0"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Spanish Confederation of Small and Medium-Sized Enterprises (CEPYME)</w:t>
      </w:r>
    </w:p>
    <w:p w14:paraId="7E522DE3"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Supreme Court</w:t>
      </w:r>
    </w:p>
    <w:p w14:paraId="31B76469"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Technical Cabinet of the Prosecutor General’s Office</w:t>
      </w:r>
    </w:p>
    <w:p w14:paraId="6393EF3A"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Trade Union Confederation of Workers’ Commissions (CCOO)</w:t>
      </w:r>
    </w:p>
    <w:p w14:paraId="3D4D712B"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Transparency Council</w:t>
      </w:r>
    </w:p>
    <w:p w14:paraId="5EFB4414"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Transparency International Spain</w:t>
      </w:r>
    </w:p>
    <w:p w14:paraId="686F9BB7" w14:textId="77777777" w:rsidR="00933ED2" w:rsidRPr="00933ED2" w:rsidRDefault="00933ED2" w:rsidP="00933ED2">
      <w:pPr>
        <w:numPr>
          <w:ilvl w:val="0"/>
          <w:numId w:val="22"/>
        </w:numPr>
        <w:spacing w:after="0" w:line="264" w:lineRule="auto"/>
        <w:ind w:left="714" w:hanging="357"/>
        <w:rPr>
          <w:noProof/>
          <w:lang w:eastAsia="en-GB"/>
        </w:rPr>
      </w:pPr>
      <w:r w:rsidRPr="00933ED2">
        <w:rPr>
          <w:noProof/>
          <w:lang w:eastAsia="en-GB"/>
        </w:rPr>
        <w:t>Xnet</w:t>
      </w:r>
    </w:p>
    <w:p w14:paraId="1CB59D44" w14:textId="77777777" w:rsidR="00933ED2" w:rsidRPr="00933ED2" w:rsidRDefault="00933ED2" w:rsidP="00933ED2">
      <w:pPr>
        <w:spacing w:before="240" w:after="120" w:line="264" w:lineRule="auto"/>
        <w:rPr>
          <w:noProof/>
          <w:lang w:eastAsia="en-GB"/>
        </w:rPr>
      </w:pPr>
      <w:r w:rsidRPr="00933ED2">
        <w:rPr>
          <w:noProof/>
          <w:lang w:eastAsia="en-GB"/>
        </w:rPr>
        <w:t xml:space="preserve">* The Commission also met the following organisations in a number of horizontal meetings: </w:t>
      </w:r>
    </w:p>
    <w:p w14:paraId="7E5EEEC0" w14:textId="77777777" w:rsidR="00933ED2" w:rsidRPr="00933ED2" w:rsidRDefault="00933ED2" w:rsidP="00933ED2">
      <w:pPr>
        <w:numPr>
          <w:ilvl w:val="0"/>
          <w:numId w:val="22"/>
        </w:numPr>
        <w:spacing w:after="0" w:line="264" w:lineRule="auto"/>
        <w:rPr>
          <w:rFonts w:eastAsiaTheme="minorHAnsi"/>
          <w:noProof/>
          <w:szCs w:val="22"/>
          <w:lang w:val="en-US" w:eastAsia="en-GB"/>
        </w:rPr>
      </w:pPr>
      <w:r w:rsidRPr="00933ED2">
        <w:rPr>
          <w:rFonts w:eastAsiaTheme="minorHAnsi"/>
          <w:noProof/>
          <w:szCs w:val="22"/>
          <w:lang w:val="en-US" w:eastAsia="en-GB"/>
        </w:rPr>
        <w:t>Civil Liberties Union for Europe</w:t>
      </w:r>
    </w:p>
    <w:p w14:paraId="1AFA2CAB" w14:textId="77777777" w:rsidR="00933ED2" w:rsidRPr="00933ED2" w:rsidRDefault="00933ED2" w:rsidP="00933ED2">
      <w:pPr>
        <w:numPr>
          <w:ilvl w:val="0"/>
          <w:numId w:val="22"/>
        </w:numPr>
        <w:spacing w:after="0" w:line="264" w:lineRule="auto"/>
        <w:rPr>
          <w:rFonts w:eastAsiaTheme="minorHAnsi"/>
          <w:noProof/>
          <w:szCs w:val="22"/>
          <w:lang w:val="en-US" w:eastAsia="en-GB"/>
        </w:rPr>
      </w:pPr>
      <w:r w:rsidRPr="00933ED2">
        <w:rPr>
          <w:rFonts w:eastAsiaTheme="minorHAnsi"/>
          <w:noProof/>
          <w:szCs w:val="22"/>
          <w:lang w:val="en-US" w:eastAsia="en-GB"/>
        </w:rPr>
        <w:t>Civil Society Europe</w:t>
      </w:r>
    </w:p>
    <w:p w14:paraId="0A906BC6" w14:textId="77777777" w:rsidR="00933ED2" w:rsidRPr="00933ED2" w:rsidRDefault="00933ED2" w:rsidP="00933ED2">
      <w:pPr>
        <w:numPr>
          <w:ilvl w:val="0"/>
          <w:numId w:val="22"/>
        </w:numPr>
        <w:spacing w:after="0" w:line="264" w:lineRule="auto"/>
        <w:rPr>
          <w:rFonts w:eastAsiaTheme="minorHAnsi"/>
          <w:noProof/>
          <w:szCs w:val="22"/>
          <w:lang w:val="en-US" w:eastAsia="en-GB"/>
        </w:rPr>
      </w:pPr>
      <w:r w:rsidRPr="00933ED2">
        <w:rPr>
          <w:rFonts w:eastAsiaTheme="minorHAnsi"/>
          <w:noProof/>
          <w:szCs w:val="22"/>
          <w:lang w:val="en-US" w:eastAsia="en-GB"/>
        </w:rPr>
        <w:t>End FGM EU</w:t>
      </w:r>
    </w:p>
    <w:p w14:paraId="618341A0" w14:textId="77777777" w:rsidR="00933ED2" w:rsidRPr="00933ED2" w:rsidRDefault="00933ED2" w:rsidP="00933ED2">
      <w:pPr>
        <w:numPr>
          <w:ilvl w:val="0"/>
          <w:numId w:val="22"/>
        </w:numPr>
        <w:spacing w:after="0" w:line="264" w:lineRule="auto"/>
        <w:rPr>
          <w:rFonts w:eastAsiaTheme="minorHAnsi"/>
          <w:noProof/>
          <w:szCs w:val="22"/>
          <w:lang w:val="en-US" w:eastAsia="en-GB"/>
        </w:rPr>
      </w:pPr>
      <w:r w:rsidRPr="00933ED2">
        <w:rPr>
          <w:rFonts w:eastAsiaTheme="minorHAnsi"/>
          <w:noProof/>
          <w:szCs w:val="22"/>
          <w:lang w:val="en-US" w:eastAsia="en-GB"/>
        </w:rPr>
        <w:t>European Civic Forum</w:t>
      </w:r>
    </w:p>
    <w:p w14:paraId="037987E5" w14:textId="77777777" w:rsidR="00933ED2" w:rsidRPr="00933ED2" w:rsidRDefault="00933ED2" w:rsidP="00933ED2">
      <w:pPr>
        <w:numPr>
          <w:ilvl w:val="0"/>
          <w:numId w:val="22"/>
        </w:numPr>
        <w:spacing w:after="0" w:line="264" w:lineRule="auto"/>
        <w:rPr>
          <w:rFonts w:eastAsiaTheme="minorHAnsi"/>
          <w:noProof/>
          <w:szCs w:val="22"/>
          <w:lang w:val="en-US" w:eastAsia="en-GB"/>
        </w:rPr>
      </w:pPr>
      <w:r w:rsidRPr="00933ED2">
        <w:rPr>
          <w:rFonts w:eastAsiaTheme="minorHAnsi"/>
          <w:noProof/>
          <w:szCs w:val="22"/>
          <w:lang w:val="en-US" w:eastAsia="en-GB"/>
        </w:rPr>
        <w:t>European Partnership for Democracy</w:t>
      </w:r>
    </w:p>
    <w:p w14:paraId="685F1DD4" w14:textId="77777777" w:rsidR="00933ED2" w:rsidRPr="00933ED2" w:rsidRDefault="00933ED2" w:rsidP="00933ED2">
      <w:pPr>
        <w:numPr>
          <w:ilvl w:val="0"/>
          <w:numId w:val="22"/>
        </w:numPr>
        <w:spacing w:after="0" w:line="264" w:lineRule="auto"/>
        <w:rPr>
          <w:rFonts w:eastAsiaTheme="minorHAnsi"/>
          <w:noProof/>
          <w:szCs w:val="22"/>
          <w:lang w:val="en-US" w:eastAsia="en-GB"/>
        </w:rPr>
      </w:pPr>
      <w:r w:rsidRPr="00933ED2">
        <w:rPr>
          <w:rFonts w:eastAsiaTheme="minorHAnsi"/>
          <w:noProof/>
          <w:szCs w:val="22"/>
          <w:lang w:val="en-US" w:eastAsia="en-GB"/>
        </w:rPr>
        <w:t>Human Rights Watch</w:t>
      </w:r>
    </w:p>
    <w:p w14:paraId="24082C5A" w14:textId="77777777" w:rsidR="00933ED2" w:rsidRPr="00933ED2" w:rsidRDefault="00933ED2" w:rsidP="00933ED2">
      <w:pPr>
        <w:numPr>
          <w:ilvl w:val="0"/>
          <w:numId w:val="22"/>
        </w:numPr>
        <w:spacing w:after="0" w:line="264" w:lineRule="auto"/>
        <w:rPr>
          <w:rFonts w:eastAsiaTheme="minorHAnsi"/>
          <w:noProof/>
          <w:szCs w:val="22"/>
          <w:lang w:val="en-US" w:eastAsia="en-GB"/>
        </w:rPr>
      </w:pPr>
      <w:r w:rsidRPr="00933ED2">
        <w:rPr>
          <w:rFonts w:eastAsiaTheme="minorHAnsi"/>
          <w:noProof/>
          <w:szCs w:val="22"/>
          <w:lang w:val="en-US" w:eastAsia="en-GB"/>
        </w:rPr>
        <w:t>ILGA-Europe</w:t>
      </w:r>
    </w:p>
    <w:p w14:paraId="689A4678" w14:textId="77777777" w:rsidR="00933ED2" w:rsidRPr="00933ED2" w:rsidRDefault="00933ED2" w:rsidP="00933ED2">
      <w:pPr>
        <w:numPr>
          <w:ilvl w:val="0"/>
          <w:numId w:val="22"/>
        </w:numPr>
        <w:spacing w:after="0" w:line="264" w:lineRule="auto"/>
        <w:rPr>
          <w:rFonts w:eastAsiaTheme="minorHAnsi"/>
          <w:noProof/>
          <w:szCs w:val="22"/>
          <w:lang w:val="en-US" w:eastAsia="en-GB"/>
        </w:rPr>
      </w:pPr>
      <w:r w:rsidRPr="00933ED2">
        <w:rPr>
          <w:rFonts w:eastAsiaTheme="minorHAnsi"/>
          <w:noProof/>
          <w:szCs w:val="22"/>
          <w:lang w:val="en-US" w:eastAsia="en-GB"/>
        </w:rPr>
        <w:t>International Federation for Human Rights</w:t>
      </w:r>
    </w:p>
    <w:p w14:paraId="018E5844" w14:textId="77777777" w:rsidR="00933ED2" w:rsidRPr="00933ED2" w:rsidRDefault="00933ED2" w:rsidP="00933ED2">
      <w:pPr>
        <w:numPr>
          <w:ilvl w:val="0"/>
          <w:numId w:val="22"/>
        </w:numPr>
        <w:spacing w:after="0" w:line="264" w:lineRule="auto"/>
        <w:rPr>
          <w:rFonts w:eastAsiaTheme="minorHAnsi"/>
          <w:noProof/>
          <w:szCs w:val="22"/>
          <w:lang w:val="en-US" w:eastAsia="en-GB"/>
        </w:rPr>
      </w:pPr>
      <w:r w:rsidRPr="00933ED2">
        <w:rPr>
          <w:rFonts w:eastAsiaTheme="minorHAnsi"/>
          <w:noProof/>
          <w:szCs w:val="22"/>
          <w:lang w:val="en-US" w:eastAsia="en-GB"/>
        </w:rPr>
        <w:t>Philea - Philanthropy Europe Association</w:t>
      </w:r>
    </w:p>
    <w:p w14:paraId="4CDCE70B" w14:textId="77777777" w:rsidR="00933ED2" w:rsidRPr="00933ED2" w:rsidRDefault="00933ED2" w:rsidP="00933ED2">
      <w:pPr>
        <w:numPr>
          <w:ilvl w:val="0"/>
          <w:numId w:val="22"/>
        </w:numPr>
        <w:spacing w:after="0" w:line="264" w:lineRule="auto"/>
        <w:rPr>
          <w:rFonts w:eastAsiaTheme="minorHAnsi" w:cstheme="minorBidi"/>
          <w:noProof/>
          <w:szCs w:val="22"/>
          <w:lang w:eastAsia="en-US"/>
        </w:rPr>
      </w:pPr>
      <w:r w:rsidRPr="00933ED2">
        <w:rPr>
          <w:rFonts w:eastAsiaTheme="minorHAnsi"/>
          <w:noProof/>
          <w:szCs w:val="22"/>
          <w:lang w:val="en-US" w:eastAsia="en-GB"/>
        </w:rPr>
        <w:t>Transparency International EU</w:t>
      </w:r>
    </w:p>
    <w:p w14:paraId="7C71BB12" w14:textId="77777777" w:rsidR="00CD604B" w:rsidRDefault="00CD604B" w:rsidP="00B51782">
      <w:pPr>
        <w:rPr>
          <w:noProof/>
        </w:rPr>
      </w:pPr>
    </w:p>
    <w:sectPr w:rsidR="00CD604B" w:rsidSect="00933ED2">
      <w:headerReference w:type="even" r:id="rId77"/>
      <w:headerReference w:type="default" r:id="rId78"/>
      <w:footerReference w:type="even" r:id="rId79"/>
      <w:footerReference w:type="default" r:id="rId80"/>
      <w:headerReference w:type="first" r:id="rId81"/>
      <w:footerReference w:type="first" r:id="rId82"/>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D1AB69" w14:textId="77777777" w:rsidR="008B396E" w:rsidRDefault="008B396E">
      <w:pPr>
        <w:spacing w:after="0"/>
      </w:pPr>
      <w:r>
        <w:separator/>
      </w:r>
    </w:p>
  </w:endnote>
  <w:endnote w:type="continuationSeparator" w:id="0">
    <w:p w14:paraId="76826E5A" w14:textId="77777777" w:rsidR="008B396E" w:rsidRDefault="008B39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4502" w14:textId="2428E1CB" w:rsidR="00985696" w:rsidRPr="00985696" w:rsidRDefault="00985696" w:rsidP="00985696">
    <w:pPr>
      <w:pStyle w:val="FooterCoverPage"/>
      <w:rPr>
        <w:rFonts w:ascii="Arial" w:hAnsi="Arial" w:cs="Arial"/>
        <w:b/>
        <w:sz w:val="48"/>
      </w:rPr>
    </w:pPr>
    <w:r w:rsidRPr="00985696">
      <w:rPr>
        <w:rFonts w:ascii="Arial" w:hAnsi="Arial" w:cs="Arial"/>
        <w:b/>
        <w:sz w:val="48"/>
      </w:rPr>
      <w:t>EN</w:t>
    </w:r>
    <w:r w:rsidRPr="00985696">
      <w:rPr>
        <w:rFonts w:ascii="Arial" w:hAnsi="Arial" w:cs="Arial"/>
        <w:b/>
        <w:sz w:val="48"/>
      </w:rPr>
      <w:tab/>
    </w:r>
    <w:r w:rsidRPr="00985696">
      <w:rPr>
        <w:rFonts w:ascii="Arial" w:hAnsi="Arial" w:cs="Arial"/>
        <w:b/>
        <w:sz w:val="48"/>
      </w:rPr>
      <w:tab/>
    </w:r>
    <w:r w:rsidRPr="00985696">
      <w:tab/>
    </w:r>
    <w:r w:rsidRPr="0098569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C26E8" w14:textId="6065FF3F" w:rsidR="00985696" w:rsidRPr="00985696" w:rsidRDefault="00985696" w:rsidP="00985696">
    <w:pPr>
      <w:pStyle w:val="FooterCoverPage"/>
      <w:rPr>
        <w:rFonts w:ascii="Arial" w:hAnsi="Arial" w:cs="Arial"/>
        <w:b/>
        <w:sz w:val="48"/>
      </w:rPr>
    </w:pPr>
    <w:r w:rsidRPr="00985696">
      <w:rPr>
        <w:rFonts w:ascii="Arial" w:hAnsi="Arial" w:cs="Arial"/>
        <w:b/>
        <w:sz w:val="48"/>
      </w:rPr>
      <w:t>EN</w:t>
    </w:r>
    <w:r w:rsidRPr="00985696">
      <w:rPr>
        <w:rFonts w:ascii="Arial" w:hAnsi="Arial" w:cs="Arial"/>
        <w:b/>
        <w:sz w:val="48"/>
      </w:rPr>
      <w:tab/>
    </w:r>
    <w:r w:rsidRPr="00985696">
      <w:rPr>
        <w:rFonts w:ascii="Arial" w:hAnsi="Arial" w:cs="Arial"/>
        <w:b/>
        <w:sz w:val="48"/>
      </w:rPr>
      <w:tab/>
    </w:r>
    <w:r w:rsidRPr="00985696">
      <w:tab/>
    </w:r>
    <w:r w:rsidRPr="0098569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B7D37" w14:textId="77777777" w:rsidR="00985696" w:rsidRPr="00985696" w:rsidRDefault="00985696" w:rsidP="0098569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5ECAC" w14:textId="77777777" w:rsidR="00933ED2" w:rsidRDefault="00933E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30FA876F" w14:textId="056EF408" w:rsidR="00933ED2" w:rsidRPr="00933ED2" w:rsidRDefault="00933ED2">
        <w:pPr>
          <w:pStyle w:val="Footer"/>
          <w:jc w:val="center"/>
          <w:rPr>
            <w:sz w:val="24"/>
            <w:szCs w:val="24"/>
          </w:rPr>
        </w:pPr>
        <w:r w:rsidRPr="00933ED2">
          <w:rPr>
            <w:sz w:val="24"/>
            <w:szCs w:val="24"/>
          </w:rPr>
          <w:fldChar w:fldCharType="begin"/>
        </w:r>
        <w:r w:rsidRPr="00933ED2">
          <w:rPr>
            <w:sz w:val="24"/>
            <w:szCs w:val="24"/>
          </w:rPr>
          <w:instrText xml:space="preserve"> PAGE   \* MERGEFORMAT </w:instrText>
        </w:r>
        <w:r w:rsidRPr="00933ED2">
          <w:rPr>
            <w:sz w:val="24"/>
            <w:szCs w:val="24"/>
          </w:rPr>
          <w:fldChar w:fldCharType="separate"/>
        </w:r>
        <w:r w:rsidR="00985696">
          <w:rPr>
            <w:noProof/>
            <w:sz w:val="24"/>
            <w:szCs w:val="24"/>
          </w:rPr>
          <w:t>1</w:t>
        </w:r>
        <w:r w:rsidRPr="00933ED2">
          <w:rPr>
            <w:noProof/>
            <w:sz w:val="24"/>
            <w:szCs w:val="24"/>
          </w:rPr>
          <w:fldChar w:fldCharType="end"/>
        </w:r>
      </w:p>
    </w:sdtContent>
  </w:sdt>
  <w:p w14:paraId="162A6AB2" w14:textId="77777777" w:rsidR="00933ED2" w:rsidRPr="00B6730D" w:rsidRDefault="00933ED2">
    <w:pPr>
      <w:pStyle w:val="Footer"/>
      <w:jc w:val="center"/>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1D050855" w14:textId="77777777" w:rsidR="00933ED2" w:rsidRDefault="00933ED2">
        <w:pPr>
          <w:pStyle w:val="Footer"/>
          <w:jc w:val="center"/>
        </w:pPr>
      </w:p>
      <w:p w14:paraId="651D70DB" w14:textId="77777777" w:rsidR="00933ED2" w:rsidRDefault="00933ED2">
        <w:pPr>
          <w:pStyle w:val="Footer"/>
          <w:jc w:val="center"/>
        </w:pPr>
      </w:p>
      <w:p w14:paraId="357F6271" w14:textId="77777777" w:rsidR="00933ED2" w:rsidRDefault="00933ED2">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72F05D91" w14:textId="77777777" w:rsidR="00933ED2" w:rsidRDefault="00933ED2"/>
  <w:p w14:paraId="0A427FB0" w14:textId="77777777" w:rsidR="00933ED2" w:rsidRDefault="00933ED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E92FE" w14:textId="77777777" w:rsidR="008B396E" w:rsidRDefault="008B396E">
      <w:pPr>
        <w:spacing w:after="0"/>
      </w:pPr>
      <w:r>
        <w:separator/>
      </w:r>
    </w:p>
  </w:footnote>
  <w:footnote w:type="continuationSeparator" w:id="0">
    <w:p w14:paraId="65A4CC23" w14:textId="77777777" w:rsidR="008B396E" w:rsidRDefault="008B396E">
      <w:pPr>
        <w:spacing w:after="0"/>
      </w:pPr>
      <w:r>
        <w:continuationSeparator/>
      </w:r>
    </w:p>
  </w:footnote>
  <w:footnote w:id="1">
    <w:p w14:paraId="51986FA2" w14:textId="2696C266" w:rsidR="00933ED2" w:rsidRPr="00CC69E1" w:rsidRDefault="00933ED2" w:rsidP="00B2260E">
      <w:pPr>
        <w:pStyle w:val="FootnoteText"/>
        <w:rPr>
          <w:lang w:val="en-IE"/>
        </w:rPr>
      </w:pPr>
      <w:r w:rsidRPr="00CC69E1">
        <w:rPr>
          <w:rStyle w:val="FootnoteReference"/>
          <w:lang w:val="en-IE"/>
        </w:rPr>
        <w:footnoteRef/>
      </w:r>
      <w:r>
        <w:rPr>
          <w:lang w:val="en-IE"/>
        </w:rPr>
        <w:tab/>
      </w:r>
      <w:r w:rsidRPr="00DE6E47">
        <w:t>An overview of the institutional framework for all four pillars can be fo</w:t>
      </w:r>
      <w:r w:rsidRPr="00D30CDE">
        <w:t xml:space="preserve">und </w:t>
      </w:r>
      <w:hyperlink r:id="rId1" w:history="1">
        <w:r w:rsidRPr="00CF369C">
          <w:rPr>
            <w:rStyle w:val="Hyperlink"/>
          </w:rPr>
          <w:t>here</w:t>
        </w:r>
      </w:hyperlink>
      <w:r w:rsidRPr="00D30CDE">
        <w:t>.</w:t>
      </w:r>
    </w:p>
  </w:footnote>
  <w:footnote w:id="2">
    <w:p w14:paraId="5FFF6899" w14:textId="77777777" w:rsidR="00933ED2" w:rsidRPr="00AF6756" w:rsidRDefault="00933ED2" w:rsidP="00B2260E">
      <w:pPr>
        <w:pStyle w:val="FootnoteText"/>
      </w:pPr>
      <w:r w:rsidRPr="00AF6756">
        <w:rPr>
          <w:rStyle w:val="FootnoteReference"/>
        </w:rPr>
        <w:footnoteRef/>
      </w:r>
      <w:r w:rsidRPr="00AF6756">
        <w:t xml:space="preserve"> </w:t>
      </w:r>
      <w:r>
        <w:tab/>
      </w:r>
      <w:r w:rsidRPr="00AF6756">
        <w:t xml:space="preserve">Figures 48 and 50, 2026 EU Justice Scoreboard and Figures </w:t>
      </w:r>
      <w:r w:rsidRPr="00AF6756">
        <w:rPr>
          <w:lang w:val="bg-BG"/>
        </w:rPr>
        <w:t>51</w:t>
      </w:r>
      <w:r w:rsidRPr="00AF6756">
        <w:t xml:space="preserve"> and </w:t>
      </w:r>
      <w:r w:rsidRPr="00AF6756">
        <w:rPr>
          <w:lang w:val="bg-BG"/>
        </w:rPr>
        <w:t>53</w:t>
      </w:r>
      <w:r w:rsidRPr="00AF6756">
        <w:t xml:space="preserve">, </w:t>
      </w:r>
      <w:r w:rsidRPr="00AF6756">
        <w:rPr>
          <w:lang w:val="bg-BG"/>
        </w:rPr>
        <w:t>2024</w:t>
      </w:r>
      <w:r>
        <w:rPr>
          <w:lang w:val="cs-CZ"/>
        </w:rPr>
        <w:t xml:space="preserve"> </w:t>
      </w:r>
      <w:r w:rsidRPr="00AF6756">
        <w:t>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645CB21C" w14:textId="77777777" w:rsidR="00933ED2" w:rsidRPr="000E5266" w:rsidRDefault="00933ED2" w:rsidP="00B2260E">
      <w:pPr>
        <w:pStyle w:val="FootnoteText"/>
        <w:rPr>
          <w:lang w:val="en-IE"/>
        </w:rPr>
      </w:pPr>
      <w:r>
        <w:rPr>
          <w:rStyle w:val="FootnoteReference"/>
        </w:rPr>
        <w:footnoteRef/>
      </w:r>
      <w:r>
        <w:tab/>
        <w:t>The 2025 Rule of Law Report recommended Spain to: “[t]</w:t>
      </w:r>
      <w:r w:rsidRPr="00117105">
        <w:t>ake forward the process in view of adapting the</w:t>
      </w:r>
      <w:r>
        <w:t xml:space="preserve"> </w:t>
      </w:r>
      <w:r w:rsidRPr="00117105">
        <w:t>appointment procedure of the Council for the Judiciary’s judges-members, taking into account European standards on Councils for the Judiciary</w:t>
      </w:r>
      <w:r>
        <w:t xml:space="preserve">”. </w:t>
      </w:r>
      <w:r w:rsidRPr="00D809D0">
        <w:rPr>
          <w:lang w:val="en-IE"/>
        </w:rPr>
        <w:t xml:space="preserve">On this recommendation, </w:t>
      </w:r>
      <w:r>
        <w:rPr>
          <w:lang w:val="en-IE"/>
        </w:rPr>
        <w:t xml:space="preserve">no progress was assessed in 2023, and </w:t>
      </w:r>
      <w:r w:rsidRPr="008B4527">
        <w:rPr>
          <w:lang w:val="en-IE"/>
        </w:rPr>
        <w:t>significant progress</w:t>
      </w:r>
      <w:r w:rsidRPr="00D809D0">
        <w:rPr>
          <w:lang w:val="en-IE"/>
        </w:rPr>
        <w:t xml:space="preserve"> in </w:t>
      </w:r>
      <w:r>
        <w:rPr>
          <w:lang w:val="en-IE"/>
        </w:rPr>
        <w:t xml:space="preserve">2024 and </w:t>
      </w:r>
      <w:r w:rsidRPr="00D809D0">
        <w:rPr>
          <w:lang w:val="en-IE"/>
        </w:rPr>
        <w:t>202</w:t>
      </w:r>
      <w:r w:rsidRPr="008B4527">
        <w:rPr>
          <w:lang w:val="en-IE"/>
        </w:rPr>
        <w:t>5</w:t>
      </w:r>
      <w:r w:rsidRPr="00D809D0">
        <w:rPr>
          <w:lang w:val="en-IE"/>
        </w:rPr>
        <w:t>.</w:t>
      </w:r>
    </w:p>
  </w:footnote>
  <w:footnote w:id="4">
    <w:p w14:paraId="5329D807" w14:textId="77777777" w:rsidR="00933ED2" w:rsidRPr="00FB0DD0" w:rsidRDefault="00933ED2" w:rsidP="00B2260E">
      <w:pPr>
        <w:pStyle w:val="FootnoteText"/>
        <w:rPr>
          <w:lang w:val="en-IE"/>
        </w:rPr>
      </w:pPr>
      <w:r>
        <w:rPr>
          <w:rStyle w:val="FootnoteReference"/>
        </w:rPr>
        <w:footnoteRef/>
      </w:r>
      <w:r>
        <w:t xml:space="preserve"> </w:t>
      </w:r>
      <w:r>
        <w:tab/>
        <w:t>2025 Rule of Law Report, Spain, p. 3, footnote 4.</w:t>
      </w:r>
    </w:p>
  </w:footnote>
  <w:footnote w:id="5">
    <w:p w14:paraId="0751680D" w14:textId="63E6DBAE" w:rsidR="00933ED2" w:rsidRPr="00230FB3" w:rsidRDefault="00933ED2" w:rsidP="00B2260E">
      <w:pPr>
        <w:pStyle w:val="FootnoteText"/>
      </w:pPr>
      <w:r>
        <w:rPr>
          <w:rStyle w:val="FootnoteReference"/>
        </w:rPr>
        <w:footnoteRef/>
      </w:r>
      <w:r>
        <w:tab/>
        <w:t xml:space="preserve">Council of Europe: Venice Commission </w:t>
      </w:r>
      <w:r w:rsidRPr="009E6282">
        <w:rPr>
          <w:bCs/>
          <w:lang w:val="en-IE" w:eastAsia="fr-FR"/>
        </w:rPr>
        <w:t>(2025)</w:t>
      </w:r>
      <w:r w:rsidR="00047CE4">
        <w:rPr>
          <w:bCs/>
          <w:lang w:val="en-IE" w:eastAsia="fr-FR"/>
        </w:rPr>
        <w:t>.</w:t>
      </w:r>
      <w:r w:rsidR="00466EBC">
        <w:rPr>
          <w:bCs/>
          <w:lang w:val="en-IE" w:eastAsia="fr-FR"/>
        </w:rPr>
        <w:t xml:space="preserve"> </w:t>
      </w:r>
      <w:r w:rsidR="00BD529C">
        <w:t>While the Venice Commission recalls that there is no standard model</w:t>
      </w:r>
      <w:r w:rsidR="005848F9">
        <w:t>, the opinion assesses how the European standards concerning the election of members of judicial councils may be integrated into Spain’s judicial organisation</w:t>
      </w:r>
      <w:r w:rsidR="0035761E">
        <w:t>, recalling that no less than half the members of judicial councils should be judges elected by their peers</w:t>
      </w:r>
      <w:r w:rsidR="005848F9">
        <w:t>.</w:t>
      </w:r>
      <w:r w:rsidR="004C1146" w:rsidRPr="004C1146">
        <w:rPr>
          <w:bCs/>
          <w:lang w:val="en-IE" w:eastAsia="fr-FR"/>
        </w:rPr>
        <w:t xml:space="preserve"> </w:t>
      </w:r>
      <w:r w:rsidR="004C1146">
        <w:rPr>
          <w:bCs/>
          <w:lang w:val="en-IE" w:eastAsia="fr-FR"/>
        </w:rPr>
        <w:t>See also Recommendation CM/Rec 2010(12).</w:t>
      </w:r>
    </w:p>
  </w:footnote>
  <w:footnote w:id="6">
    <w:p w14:paraId="59117697" w14:textId="127E8F46" w:rsidR="00933ED2" w:rsidRPr="00367590" w:rsidRDefault="00933ED2" w:rsidP="00B2260E">
      <w:pPr>
        <w:pStyle w:val="FootnoteText"/>
        <w:rPr>
          <w:lang w:val="en-IE"/>
        </w:rPr>
      </w:pPr>
      <w:r>
        <w:rPr>
          <w:rStyle w:val="FootnoteReference"/>
        </w:rPr>
        <w:footnoteRef/>
      </w:r>
      <w:r>
        <w:t xml:space="preserve"> </w:t>
      </w:r>
      <w:r w:rsidRPr="00367590">
        <w:rPr>
          <w:lang w:val="en-IE"/>
        </w:rPr>
        <w:tab/>
      </w:r>
      <w:r w:rsidRPr="00A8466F">
        <w:rPr>
          <w:bCs/>
          <w:lang w:eastAsia="fr-FR"/>
        </w:rPr>
        <w:t xml:space="preserve">Moreover, </w:t>
      </w:r>
      <w:r>
        <w:rPr>
          <w:bCs/>
          <w:lang w:eastAsia="fr-FR"/>
        </w:rPr>
        <w:t xml:space="preserve">according to the Venice Commission, in this model </w:t>
      </w:r>
      <w:r w:rsidR="007555A1">
        <w:rPr>
          <w:bCs/>
          <w:lang w:eastAsia="fr-FR"/>
        </w:rPr>
        <w:t>“</w:t>
      </w:r>
      <w:r w:rsidRPr="00A8466F">
        <w:rPr>
          <w:bCs/>
          <w:lang w:eastAsia="fr-FR"/>
        </w:rPr>
        <w:t>Parliament is given broad discretion in selecting candidates, without clear criteria or an obligation to provide adequate reasons</w:t>
      </w:r>
      <w:r w:rsidR="00B90749">
        <w:rPr>
          <w:bCs/>
          <w:lang w:eastAsia="fr-FR"/>
        </w:rPr>
        <w:t>.</w:t>
      </w:r>
      <w:r w:rsidR="000E61EC">
        <w:rPr>
          <w:bCs/>
          <w:lang w:eastAsia="fr-FR"/>
        </w:rPr>
        <w:t xml:space="preserve"> […] </w:t>
      </w:r>
      <w:r w:rsidR="00583003" w:rsidRPr="00583003">
        <w:rPr>
          <w:bCs/>
          <w:lang w:eastAsia="fr-FR"/>
        </w:rPr>
        <w:t>Overall, the pre-election of the judicial members of the judicial council by the judges is valuable, but insufficient to meet the peer election standard, because it is followed by their political election</w:t>
      </w:r>
      <w:r w:rsidR="003B68A4">
        <w:rPr>
          <w:bCs/>
          <w:lang w:eastAsia="fr-FR"/>
        </w:rPr>
        <w:t>”</w:t>
      </w:r>
      <w:r w:rsidRPr="00A8466F">
        <w:rPr>
          <w:bCs/>
          <w:lang w:eastAsia="fr-FR"/>
        </w:rPr>
        <w:t>. Additionally, the availability of an effective legal remedy to challenge appointments remains uncertain</w:t>
      </w:r>
      <w:r>
        <w:rPr>
          <w:bCs/>
          <w:lang w:eastAsia="fr-FR"/>
        </w:rPr>
        <w:t>, and the model lacks</w:t>
      </w:r>
      <w:r w:rsidRPr="00A8466F">
        <w:rPr>
          <w:bCs/>
          <w:lang w:eastAsia="fr-FR"/>
        </w:rPr>
        <w:t xml:space="preserve"> adequate anti-deadlock mechanisms</w:t>
      </w:r>
      <w:r>
        <w:rPr>
          <w:bCs/>
          <w:lang w:eastAsia="fr-FR"/>
        </w:rPr>
        <w:t xml:space="preserve">. Council of Europe: </w:t>
      </w:r>
      <w:r w:rsidRPr="00367590">
        <w:rPr>
          <w:lang w:val="en-IE"/>
        </w:rPr>
        <w:t>Venice Commission, (2025), p. 16.</w:t>
      </w:r>
    </w:p>
  </w:footnote>
  <w:footnote w:id="7">
    <w:p w14:paraId="0DFF5DB8" w14:textId="77777777" w:rsidR="00933ED2" w:rsidRPr="007429AD" w:rsidRDefault="00933ED2" w:rsidP="00B2260E">
      <w:pPr>
        <w:pStyle w:val="FootnoteText"/>
        <w:rPr>
          <w:lang w:val="en-IE"/>
        </w:rPr>
      </w:pPr>
      <w:r>
        <w:rPr>
          <w:rStyle w:val="FootnoteReference"/>
        </w:rPr>
        <w:footnoteRef/>
      </w:r>
      <w:r>
        <w:rPr>
          <w:lang w:val="en-IE"/>
        </w:rPr>
        <w:tab/>
      </w:r>
      <w:r w:rsidRPr="007429AD">
        <w:rPr>
          <w:lang w:val="en-IE"/>
        </w:rPr>
        <w:t>Organic Law 6/1985, of 1 July, o</w:t>
      </w:r>
      <w:r>
        <w:rPr>
          <w:lang w:val="en-IE"/>
        </w:rPr>
        <w:t>n</w:t>
      </w:r>
      <w:r w:rsidRPr="007429AD">
        <w:rPr>
          <w:lang w:val="en-IE"/>
        </w:rPr>
        <w:t xml:space="preserve"> the </w:t>
      </w:r>
      <w:r>
        <w:rPr>
          <w:lang w:val="en-IE"/>
        </w:rPr>
        <w:t>Judiciary</w:t>
      </w:r>
      <w:r w:rsidRPr="007429AD">
        <w:rPr>
          <w:lang w:val="en-IE"/>
        </w:rPr>
        <w:t>.</w:t>
      </w:r>
    </w:p>
  </w:footnote>
  <w:footnote w:id="8">
    <w:p w14:paraId="18BB0DAC" w14:textId="77777777" w:rsidR="00933ED2" w:rsidRPr="0074159D" w:rsidRDefault="00933ED2" w:rsidP="00B2260E">
      <w:pPr>
        <w:pStyle w:val="FootnoteText"/>
      </w:pPr>
      <w:r>
        <w:rPr>
          <w:rStyle w:val="FootnoteReference"/>
        </w:rPr>
        <w:footnoteRef/>
      </w:r>
      <w:r>
        <w:tab/>
        <w:t xml:space="preserve">Congress (2025a), tabled on 24 October 2025 and Senate (2025), tabled on 6 November 2025. </w:t>
      </w:r>
    </w:p>
  </w:footnote>
  <w:footnote w:id="9">
    <w:p w14:paraId="5B08514E" w14:textId="77777777" w:rsidR="00933ED2" w:rsidRPr="000C79C1" w:rsidRDefault="00933ED2" w:rsidP="00B2260E">
      <w:pPr>
        <w:pStyle w:val="FootnoteText"/>
      </w:pPr>
      <w:r>
        <w:rPr>
          <w:rStyle w:val="FootnoteReference"/>
        </w:rPr>
        <w:footnoteRef/>
      </w:r>
      <w:r>
        <w:tab/>
      </w:r>
      <w:r w:rsidRPr="00A6577B">
        <w:t>Professional Association of Magistra</w:t>
      </w:r>
      <w:r>
        <w:t>cy (2026), written input, p. 8; Independent Judicial Forum (2026), written input, p. 6; Judges and Magistrates Association</w:t>
      </w:r>
      <w:r w:rsidRPr="00C64E43">
        <w:t xml:space="preserve"> “Francisco de Vitoria”</w:t>
      </w:r>
      <w:r>
        <w:t xml:space="preserve"> (2026), written input, p. 1; Association of Prosecutors (2026), written input, p. 6; Foundation Hay Derecho (2026), written input, p. 8; </w:t>
      </w:r>
      <w:r w:rsidRPr="00357906">
        <w:t>Civic Platform for the Judicial Independence</w:t>
      </w:r>
      <w:r>
        <w:t xml:space="preserve"> (2026), written input, pp. 6-7</w:t>
      </w:r>
      <w:r w:rsidRPr="005B52F5">
        <w:t xml:space="preserve">; </w:t>
      </w:r>
      <w:r>
        <w:t>C</w:t>
      </w:r>
      <w:r w:rsidRPr="005B52F5">
        <w:t>ountry visit Spain, Judges for Democracy.</w:t>
      </w:r>
    </w:p>
  </w:footnote>
  <w:footnote w:id="10">
    <w:p w14:paraId="692404A9" w14:textId="77777777" w:rsidR="00933ED2" w:rsidRPr="00A1057D" w:rsidRDefault="00933ED2" w:rsidP="00B2260E">
      <w:pPr>
        <w:pStyle w:val="FootnoteText"/>
        <w:rPr>
          <w:lang w:val="en-IE"/>
        </w:rPr>
      </w:pPr>
      <w:r>
        <w:rPr>
          <w:rStyle w:val="FootnoteReference"/>
        </w:rPr>
        <w:footnoteRef/>
      </w:r>
      <w:r>
        <w:t xml:space="preserve"> </w:t>
      </w:r>
      <w:r>
        <w:rPr>
          <w:lang w:val="en-IE"/>
        </w:rPr>
        <w:tab/>
        <w:t>Council for the Judiciary (2026c).</w:t>
      </w:r>
    </w:p>
  </w:footnote>
  <w:footnote w:id="11">
    <w:p w14:paraId="25D3B3BE" w14:textId="77777777" w:rsidR="00933ED2" w:rsidRPr="00727255" w:rsidRDefault="00933ED2" w:rsidP="00B2260E">
      <w:pPr>
        <w:pStyle w:val="FootnoteText"/>
      </w:pPr>
      <w:r>
        <w:rPr>
          <w:rStyle w:val="FootnoteReference"/>
        </w:rPr>
        <w:footnoteRef/>
      </w:r>
      <w:r>
        <w:tab/>
        <w:t>Country visit Spain, Council for the Judiciary</w:t>
      </w:r>
      <w:r w:rsidRPr="00142CE3">
        <w:t>; Spanish Government (2026), written input, p. 4.</w:t>
      </w:r>
    </w:p>
  </w:footnote>
  <w:footnote w:id="12">
    <w:p w14:paraId="45A34C86" w14:textId="77777777" w:rsidR="00933ED2" w:rsidRPr="00CF7434" w:rsidRDefault="00933ED2" w:rsidP="00B2260E">
      <w:pPr>
        <w:pStyle w:val="FootnoteText"/>
        <w:rPr>
          <w:lang w:val="en-IE"/>
        </w:rPr>
      </w:pPr>
      <w:r>
        <w:rPr>
          <w:rStyle w:val="FootnoteReference"/>
        </w:rPr>
        <w:footnoteRef/>
      </w:r>
      <w:r>
        <w:t xml:space="preserve"> </w:t>
      </w:r>
      <w:r>
        <w:tab/>
        <w:t xml:space="preserve">Foundation Hay Derecho (2026), written input, p. 9; </w:t>
      </w:r>
      <w:r w:rsidRPr="00E32946">
        <w:t>Civic Platform for the Judicial Independence</w:t>
      </w:r>
      <w:r>
        <w:t xml:space="preserve"> (2026), written input, p. 7;</w:t>
      </w:r>
      <w:r>
        <w:rPr>
          <w:lang w:eastAsia="fr-FR"/>
        </w:rPr>
        <w:t xml:space="preserve"> </w:t>
      </w:r>
      <w:r w:rsidRPr="007F1703">
        <w:rPr>
          <w:lang w:eastAsia="en-GB"/>
        </w:rPr>
        <w:t>Council for the Judiciary (2026),</w:t>
      </w:r>
      <w:r>
        <w:rPr>
          <w:lang w:eastAsia="en-GB"/>
        </w:rPr>
        <w:t xml:space="preserve"> written input, p. 10.</w:t>
      </w:r>
    </w:p>
  </w:footnote>
  <w:footnote w:id="13">
    <w:p w14:paraId="24BB9BFB" w14:textId="77777777" w:rsidR="00933ED2" w:rsidRPr="009375F8" w:rsidRDefault="00933ED2" w:rsidP="00B2260E">
      <w:pPr>
        <w:pStyle w:val="FootnoteText"/>
        <w:rPr>
          <w:lang w:val="en-IE"/>
        </w:rPr>
      </w:pPr>
      <w:r>
        <w:rPr>
          <w:rStyle w:val="FootnoteReference"/>
        </w:rPr>
        <w:footnoteRef/>
      </w:r>
      <w:r>
        <w:t xml:space="preserve"> </w:t>
      </w:r>
      <w:r>
        <w:tab/>
      </w:r>
      <w:r>
        <w:rPr>
          <w:lang w:val="en-IE"/>
        </w:rPr>
        <w:t>The 2025 Rule of Law Report recommended Spain to: “</w:t>
      </w:r>
      <w:r>
        <w:t>[c]</w:t>
      </w:r>
      <w:r w:rsidRPr="00B546CF">
        <w:t>ontinue ongoing efforts to strengthen the statute of the Prosecutor General, in particular regarding the separation of the terms of office of the Prosecutor General from that of the Government, taking into account European standards on independence and autonomy of the prosecution</w:t>
      </w:r>
      <w:r>
        <w:t>”. On this recommendation, no further progress was assessed in 2023, s</w:t>
      </w:r>
      <w:r w:rsidRPr="003173BA">
        <w:t xml:space="preserve">ome </w:t>
      </w:r>
      <w:r>
        <w:t>progress in 2024 and some further progress in 2025.</w:t>
      </w:r>
    </w:p>
  </w:footnote>
  <w:footnote w:id="14">
    <w:p w14:paraId="4C5BA3DB" w14:textId="77777777" w:rsidR="00933ED2" w:rsidRPr="001414FE" w:rsidRDefault="00933ED2" w:rsidP="00B2260E">
      <w:pPr>
        <w:pStyle w:val="FootnoteText"/>
      </w:pPr>
      <w:r>
        <w:rPr>
          <w:rStyle w:val="FootnoteReference"/>
        </w:rPr>
        <w:footnoteRef/>
      </w:r>
      <w:r>
        <w:tab/>
      </w:r>
      <w:r w:rsidRPr="00465A27">
        <w:t>Congress (2025b)</w:t>
      </w:r>
      <w:r>
        <w:t xml:space="preserve">. </w:t>
      </w:r>
    </w:p>
  </w:footnote>
  <w:footnote w:id="15">
    <w:p w14:paraId="72A9E0D2" w14:textId="31C5847E" w:rsidR="00933ED2" w:rsidRPr="00F24550" w:rsidRDefault="00933ED2" w:rsidP="00B2260E">
      <w:pPr>
        <w:pStyle w:val="FootnoteText"/>
      </w:pPr>
      <w:r>
        <w:rPr>
          <w:rStyle w:val="FootnoteReference"/>
        </w:rPr>
        <w:footnoteRef/>
      </w:r>
      <w:r>
        <w:tab/>
      </w:r>
      <w:r w:rsidRPr="00B95CFC">
        <w:t>Technical Cabinet of the Prosecutor General’s Office</w:t>
      </w:r>
      <w:r>
        <w:t xml:space="preserve"> (2026a), </w:t>
      </w:r>
      <w:r w:rsidR="00980AA9">
        <w:t xml:space="preserve">additional </w:t>
      </w:r>
      <w:r>
        <w:t>written input, p. 4; Country visit Spain, Association of Prosecutors, Professional and Independent Association of Prosecutors, Progressive Union of Prosecutors.</w:t>
      </w:r>
      <w:r w:rsidR="008B7ED6">
        <w:t xml:space="preserve"> See also </w:t>
      </w:r>
      <w:r w:rsidR="00390A86">
        <w:t>footnote 27</w:t>
      </w:r>
      <w:r w:rsidR="00BB3FEC">
        <w:t xml:space="preserve"> </w:t>
      </w:r>
      <w:r w:rsidR="00DB5307">
        <w:t>for additional information on prosecutorial positions</w:t>
      </w:r>
      <w:r w:rsidR="0094649C">
        <w:t>.</w:t>
      </w:r>
    </w:p>
  </w:footnote>
  <w:footnote w:id="16">
    <w:p w14:paraId="7A22D770" w14:textId="77777777" w:rsidR="00933ED2" w:rsidRPr="00643049" w:rsidRDefault="00933ED2" w:rsidP="00B2260E">
      <w:pPr>
        <w:pStyle w:val="FootnoteText"/>
      </w:pPr>
      <w:r>
        <w:rPr>
          <w:rStyle w:val="FootnoteReference"/>
        </w:rPr>
        <w:footnoteRef/>
      </w:r>
      <w:r>
        <w:tab/>
        <w:t xml:space="preserve">2025 Rule of Law Report, Spain, pp. 4-5. </w:t>
      </w:r>
    </w:p>
  </w:footnote>
  <w:footnote w:id="17">
    <w:p w14:paraId="25AFED55" w14:textId="77777777" w:rsidR="00933ED2" w:rsidRPr="00BC1BBA" w:rsidRDefault="00933ED2" w:rsidP="00B2260E">
      <w:pPr>
        <w:pStyle w:val="FootnoteText"/>
      </w:pPr>
      <w:r>
        <w:rPr>
          <w:rStyle w:val="FootnoteReference"/>
        </w:rPr>
        <w:footnoteRef/>
      </w:r>
      <w:r>
        <w:tab/>
        <w:t>Country visit Spain, Association of Prosecutors and Professional and Independent Association of Prosecutors.</w:t>
      </w:r>
      <w:r w:rsidRPr="00BC1BBA">
        <w:t xml:space="preserve"> </w:t>
      </w:r>
      <w:r w:rsidRPr="00812630">
        <w:t>Council for the Judiciary (2026),</w:t>
      </w:r>
      <w:r>
        <w:t xml:space="preserve"> written input, p. 2. </w:t>
      </w:r>
    </w:p>
  </w:footnote>
  <w:footnote w:id="18">
    <w:p w14:paraId="6930A347" w14:textId="77777777" w:rsidR="00933ED2" w:rsidRPr="00BC1BBA" w:rsidRDefault="00933ED2" w:rsidP="00B2260E">
      <w:pPr>
        <w:pStyle w:val="FootnoteText"/>
      </w:pPr>
      <w:r>
        <w:rPr>
          <w:rStyle w:val="FootnoteReference"/>
        </w:rPr>
        <w:footnoteRef/>
      </w:r>
      <w:r>
        <w:tab/>
        <w:t>Country visit Spain, Progressive Union of Prosecutors.</w:t>
      </w:r>
    </w:p>
  </w:footnote>
  <w:footnote w:id="19">
    <w:p w14:paraId="09F4CCFD" w14:textId="5E73C2F5" w:rsidR="00933ED2" w:rsidRPr="00D8015E" w:rsidRDefault="00933ED2" w:rsidP="00B2260E">
      <w:pPr>
        <w:pStyle w:val="FootnoteText"/>
        <w:rPr>
          <w:lang w:val="en-IE"/>
        </w:rPr>
      </w:pPr>
      <w:r>
        <w:rPr>
          <w:rStyle w:val="FootnoteReference"/>
        </w:rPr>
        <w:footnoteRef/>
      </w:r>
      <w:r>
        <w:t xml:space="preserve"> </w:t>
      </w:r>
      <w:r>
        <w:rPr>
          <w:lang w:val="en-IE"/>
        </w:rPr>
        <w:tab/>
      </w:r>
      <w:r>
        <w:t xml:space="preserve">Country visit Spain, Council for the Judiciary, Constitutional Court, </w:t>
      </w:r>
      <w:r w:rsidRPr="006D6B46">
        <w:t>Professional Association of M</w:t>
      </w:r>
      <w:r>
        <w:t>agistracy, Judges and Magistrates Association</w:t>
      </w:r>
      <w:r w:rsidRPr="00C64E43">
        <w:t xml:space="preserve"> “Francisco de Vitoria”</w:t>
      </w:r>
      <w:r>
        <w:t xml:space="preserve">, </w:t>
      </w:r>
      <w:r w:rsidRPr="00DE06BC">
        <w:t>Judges for Democracy</w:t>
      </w:r>
      <w:r>
        <w:t xml:space="preserve"> and Independent Judicial Forum; </w:t>
      </w:r>
      <w:r w:rsidRPr="00865DCD">
        <w:t>Council for the Judiciary (2025a</w:t>
      </w:r>
      <w:r w:rsidR="00546672">
        <w:t xml:space="preserve"> and </w:t>
      </w:r>
      <w:r w:rsidRPr="00DA40B1">
        <w:rPr>
          <w:lang w:val="en-IE" w:eastAsia="en-GB"/>
        </w:rPr>
        <w:t>2026e).</w:t>
      </w:r>
    </w:p>
  </w:footnote>
  <w:footnote w:id="20">
    <w:p w14:paraId="0F68B27F" w14:textId="77777777" w:rsidR="00933ED2" w:rsidRPr="005B058C" w:rsidRDefault="00933ED2" w:rsidP="00B2260E">
      <w:pPr>
        <w:pStyle w:val="FootnoteText"/>
      </w:pPr>
      <w:r>
        <w:rPr>
          <w:rStyle w:val="FootnoteReference"/>
        </w:rPr>
        <w:footnoteRef/>
      </w:r>
      <w:r>
        <w:t xml:space="preserve"> </w:t>
      </w:r>
      <w:r>
        <w:tab/>
      </w:r>
      <w:r w:rsidRPr="004E54A6">
        <w:t>Technical Cabinet of the</w:t>
      </w:r>
      <w:r>
        <w:t xml:space="preserve"> Supreme Court (2026), written input, p. 10; Country visit Spain, </w:t>
      </w:r>
      <w:r w:rsidRPr="004E54A6">
        <w:t>Technical Cabinet of the</w:t>
      </w:r>
      <w:r>
        <w:t xml:space="preserve"> Supreme Court.</w:t>
      </w:r>
    </w:p>
  </w:footnote>
  <w:footnote w:id="21">
    <w:p w14:paraId="3E946889" w14:textId="77777777" w:rsidR="00933ED2" w:rsidRPr="00940882" w:rsidRDefault="00933ED2" w:rsidP="00B2260E">
      <w:pPr>
        <w:pStyle w:val="FootnoteText"/>
      </w:pPr>
      <w:r>
        <w:rPr>
          <w:rStyle w:val="FootnoteReference"/>
        </w:rPr>
        <w:footnoteRef/>
      </w:r>
      <w:r>
        <w:t xml:space="preserve"> </w:t>
      </w:r>
      <w:r>
        <w:tab/>
      </w:r>
      <w:r w:rsidRPr="00E20C34">
        <w:t>General Council of Spanish Lawyers (2026)</w:t>
      </w:r>
      <w:r>
        <w:t>.</w:t>
      </w:r>
    </w:p>
  </w:footnote>
  <w:footnote w:id="22">
    <w:p w14:paraId="5E7B24A9" w14:textId="74482AC9" w:rsidR="00933ED2" w:rsidRPr="00D05817" w:rsidRDefault="00933ED2" w:rsidP="00B2260E">
      <w:pPr>
        <w:pStyle w:val="FootnoteText"/>
      </w:pPr>
      <w:r>
        <w:rPr>
          <w:rStyle w:val="FootnoteReference"/>
        </w:rPr>
        <w:footnoteRef/>
      </w:r>
      <w:r>
        <w:t xml:space="preserve"> </w:t>
      </w:r>
      <w:r>
        <w:tab/>
        <w:t xml:space="preserve">See </w:t>
      </w:r>
      <w:r w:rsidRPr="00540349">
        <w:t>Council for the Judiciary (2026b</w:t>
      </w:r>
      <w:r w:rsidR="00F74A25">
        <w:t xml:space="preserve"> and </w:t>
      </w:r>
      <w:r w:rsidR="00F74A25" w:rsidRPr="00F74A25">
        <w:t>2026</w:t>
      </w:r>
      <w:r w:rsidR="00C973FD">
        <w:t>h</w:t>
      </w:r>
      <w:r w:rsidRPr="00540349">
        <w:t>)</w:t>
      </w:r>
      <w:r>
        <w:t>.</w:t>
      </w:r>
      <w:r w:rsidR="00863CF9">
        <w:t xml:space="preserve"> </w:t>
      </w:r>
      <w:r w:rsidR="00863CF9" w:rsidRPr="00863CF9">
        <w:t>Article 418</w:t>
      </w:r>
      <w:r w:rsidR="005023DF">
        <w:t>(</w:t>
      </w:r>
      <w:r w:rsidR="00863CF9" w:rsidRPr="00863CF9">
        <w:t>3</w:t>
      </w:r>
      <w:r w:rsidR="005023DF">
        <w:t>)</w:t>
      </w:r>
      <w:r w:rsidR="00863CF9" w:rsidRPr="00863CF9">
        <w:t xml:space="preserve"> of the Organic Law on the Judiciary deems it a serious offense to address</w:t>
      </w:r>
      <w:r w:rsidR="00C1158D">
        <w:t xml:space="preserve"> the powers, </w:t>
      </w:r>
      <w:r w:rsidR="00C722A8">
        <w:t xml:space="preserve">authorities, </w:t>
      </w:r>
      <w:r w:rsidR="00841144">
        <w:t xml:space="preserve">public </w:t>
      </w:r>
      <w:r w:rsidR="000C5683">
        <w:t xml:space="preserve">officials or official bodies with praise or criticism </w:t>
      </w:r>
      <w:r w:rsidR="003F6BC4">
        <w:t>for their actions, invoking th</w:t>
      </w:r>
      <w:r w:rsidR="00351654">
        <w:t>e status of judge, or making use of it.</w:t>
      </w:r>
    </w:p>
  </w:footnote>
  <w:footnote w:id="23">
    <w:p w14:paraId="353A5FE1" w14:textId="77777777" w:rsidR="00933ED2" w:rsidRPr="00CD2B75" w:rsidRDefault="00933ED2" w:rsidP="00B2260E">
      <w:pPr>
        <w:pStyle w:val="FootnoteText"/>
      </w:pPr>
      <w:r>
        <w:rPr>
          <w:rStyle w:val="FootnoteReference"/>
        </w:rPr>
        <w:footnoteRef/>
      </w:r>
      <w:r>
        <w:t xml:space="preserve"> </w:t>
      </w:r>
      <w:r>
        <w:tab/>
        <w:t xml:space="preserve">Council of Europe: </w:t>
      </w:r>
      <w:r w:rsidRPr="00286545">
        <w:t xml:space="preserve">Committee of Ministers </w:t>
      </w:r>
      <w:r>
        <w:t>(2010)</w:t>
      </w:r>
      <w:r w:rsidRPr="00286545">
        <w:t xml:space="preserve">, para. 18. See also </w:t>
      </w:r>
      <w:r w:rsidRPr="00FA5F6C">
        <w:t>Council of Europe:</w:t>
      </w:r>
      <w:r>
        <w:t xml:space="preserve"> </w:t>
      </w:r>
      <w:r w:rsidRPr="00286545">
        <w:t>Venice Commission (2013), paras. 21-22</w:t>
      </w:r>
      <w:r>
        <w:t>.</w:t>
      </w:r>
    </w:p>
  </w:footnote>
  <w:footnote w:id="24">
    <w:p w14:paraId="1B7D1794" w14:textId="77777777" w:rsidR="00933ED2" w:rsidRPr="00286545" w:rsidRDefault="00933ED2" w:rsidP="00B2260E">
      <w:pPr>
        <w:pStyle w:val="FootnoteText"/>
      </w:pPr>
      <w:r>
        <w:rPr>
          <w:rStyle w:val="FootnoteReference"/>
        </w:rPr>
        <w:footnoteRef/>
      </w:r>
      <w:r>
        <w:t xml:space="preserve"> </w:t>
      </w:r>
      <w:r>
        <w:tab/>
      </w:r>
      <w:r w:rsidRPr="00410695">
        <w:t>Council of Europe: Consultative Council of European Judges (2015)</w:t>
      </w:r>
      <w:r w:rsidRPr="00BD6F7D">
        <w:t xml:space="preserve">, para. 54: </w:t>
      </w:r>
      <w:r>
        <w:t>“</w:t>
      </w:r>
      <w:r w:rsidRPr="00BD6F7D">
        <w:t>Any analyses and criticisms by one power of state of the other powers should be undertaken in a climate of mutual respect</w:t>
      </w:r>
      <w:r>
        <w:t>”.</w:t>
      </w:r>
    </w:p>
  </w:footnote>
  <w:footnote w:id="25">
    <w:p w14:paraId="28FE3E44" w14:textId="77777777" w:rsidR="00933ED2" w:rsidRPr="008F0D62" w:rsidRDefault="00933ED2" w:rsidP="00B2260E">
      <w:pPr>
        <w:pStyle w:val="FootnoteText"/>
        <w:rPr>
          <w:lang w:val="en-IE"/>
        </w:rPr>
      </w:pPr>
      <w:r>
        <w:rPr>
          <w:rStyle w:val="FootnoteReference"/>
        </w:rPr>
        <w:footnoteRef/>
      </w:r>
      <w:r w:rsidRPr="008F0D62">
        <w:rPr>
          <w:lang w:val="en-IE"/>
        </w:rPr>
        <w:t xml:space="preserve"> </w:t>
      </w:r>
      <w:r>
        <w:rPr>
          <w:lang w:val="en-IE"/>
        </w:rPr>
        <w:tab/>
      </w:r>
      <w:r w:rsidRPr="00DA0CCD">
        <w:rPr>
          <w:lang w:val="en-IE"/>
        </w:rPr>
        <w:t>Council for the Judiciary (2025c), pp. 17-18.</w:t>
      </w:r>
    </w:p>
  </w:footnote>
  <w:footnote w:id="26">
    <w:p w14:paraId="3CA784B4" w14:textId="77777777" w:rsidR="00933ED2" w:rsidRPr="008963FA" w:rsidRDefault="00933ED2" w:rsidP="00B2260E">
      <w:pPr>
        <w:pStyle w:val="FootnoteText"/>
        <w:rPr>
          <w:lang w:val="en-IE"/>
        </w:rPr>
      </w:pPr>
      <w:r>
        <w:rPr>
          <w:rStyle w:val="FootnoteReference"/>
        </w:rPr>
        <w:footnoteRef/>
      </w:r>
      <w:r>
        <w:tab/>
      </w:r>
      <w:r w:rsidRPr="00964E8E">
        <w:t>The highest recent share was in 2022/2023: 1159 out of 5553 judges (20.87%), and the share in 2025/202</w:t>
      </w:r>
      <w:r w:rsidRPr="00A1057D">
        <w:t>6</w:t>
      </w:r>
      <w:r w:rsidRPr="00964E8E">
        <w:t xml:space="preserve"> was 947 out of 5643 judges (16.78%). </w:t>
      </w:r>
      <w:r w:rsidRPr="00DA0CCD">
        <w:rPr>
          <w:lang w:val="en-IE"/>
        </w:rPr>
        <w:t>Council for the Judiciary (2025c), p. 16 and Council for the Judiciary (2024a), p. 14.</w:t>
      </w:r>
      <w:r>
        <w:rPr>
          <w:lang w:val="en-IE"/>
        </w:rPr>
        <w:t xml:space="preserve"> </w:t>
      </w:r>
    </w:p>
  </w:footnote>
  <w:footnote w:id="27">
    <w:p w14:paraId="019ACA9B" w14:textId="420ED7AF" w:rsidR="00933ED2" w:rsidRPr="007B5DD2" w:rsidRDefault="00933ED2" w:rsidP="00127AB6">
      <w:pPr>
        <w:pStyle w:val="FootnoteText"/>
      </w:pPr>
      <w:r>
        <w:rPr>
          <w:rStyle w:val="FootnoteReference"/>
        </w:rPr>
        <w:footnoteRef/>
      </w:r>
      <w:r>
        <w:t xml:space="preserve"> </w:t>
      </w:r>
      <w:r>
        <w:tab/>
      </w:r>
      <w:r w:rsidR="00BC6158" w:rsidRPr="00BC6158">
        <w:t xml:space="preserve">Ministry of </w:t>
      </w:r>
      <w:r w:rsidR="00E17CCA" w:rsidRPr="00E17CCA">
        <w:t>the Presidency, Justice and Relations with the Parliament</w:t>
      </w:r>
      <w:r w:rsidR="00BC6158" w:rsidRPr="00BC6158">
        <w:t xml:space="preserve"> (2026)</w:t>
      </w:r>
      <w:r>
        <w:t xml:space="preserve">. </w:t>
      </w:r>
      <w:r>
        <w:rPr>
          <w:bCs/>
          <w:lang w:eastAsia="fr-FR"/>
        </w:rPr>
        <w:t>Both the new judicial and prosecutorial</w:t>
      </w:r>
      <w:r w:rsidRPr="00AF5F2C">
        <w:rPr>
          <w:bCs/>
          <w:lang w:eastAsia="fr-FR"/>
        </w:rPr>
        <w:t xml:space="preserve"> positions </w:t>
      </w:r>
      <w:r>
        <w:rPr>
          <w:bCs/>
          <w:lang w:eastAsia="fr-FR"/>
        </w:rPr>
        <w:t xml:space="preserve">are expected to </w:t>
      </w:r>
      <w:r w:rsidRPr="00AF5F2C">
        <w:rPr>
          <w:bCs/>
          <w:lang w:eastAsia="fr-FR"/>
        </w:rPr>
        <w:t xml:space="preserve">be filled </w:t>
      </w:r>
      <w:r>
        <w:rPr>
          <w:bCs/>
          <w:lang w:eastAsia="fr-FR"/>
        </w:rPr>
        <w:t xml:space="preserve">in the next years </w:t>
      </w:r>
      <w:r w:rsidRPr="00AF5F2C">
        <w:rPr>
          <w:bCs/>
          <w:lang w:eastAsia="fr-FR"/>
        </w:rPr>
        <w:t>through competitions</w:t>
      </w:r>
      <w:r>
        <w:rPr>
          <w:bCs/>
          <w:lang w:eastAsia="fr-FR"/>
        </w:rPr>
        <w:t xml:space="preserve"> for 700 laureates</w:t>
      </w:r>
      <w:r>
        <w:t xml:space="preserve">, </w:t>
      </w:r>
      <w:r w:rsidRPr="00AA67FF">
        <w:t xml:space="preserve">Ministry of </w:t>
      </w:r>
      <w:r w:rsidR="00E17CCA" w:rsidRPr="00E17CCA">
        <w:t>the Presidency, Justice and Relations with the Parliament</w:t>
      </w:r>
      <w:r w:rsidRPr="00AA67FF">
        <w:t xml:space="preserve"> (2026a)</w:t>
      </w:r>
      <w:r>
        <w:t>. The Council for the Judiciary has approved</w:t>
      </w:r>
      <w:r w:rsidR="00413A32">
        <w:t xml:space="preserve"> competitive</w:t>
      </w:r>
      <w:r>
        <w:t xml:space="preserve"> call</w:t>
      </w:r>
      <w:r w:rsidR="00413A32">
        <w:t>s</w:t>
      </w:r>
      <w:r>
        <w:t xml:space="preserve"> for filling </w:t>
      </w:r>
      <w:r w:rsidR="009B4B59" w:rsidRPr="00666A4B">
        <w:t>700</w:t>
      </w:r>
      <w:r w:rsidR="009B4B59" w:rsidRPr="008F39C3">
        <w:t xml:space="preserve"> </w:t>
      </w:r>
      <w:r w:rsidRPr="008F39C3">
        <w:t>positions, 375 for judges and 200 for prosecutors</w:t>
      </w:r>
      <w:r>
        <w:t xml:space="preserve">, </w:t>
      </w:r>
      <w:r w:rsidR="003F7C45">
        <w:t xml:space="preserve">trough </w:t>
      </w:r>
      <w:r w:rsidR="000B0E53">
        <w:t>an</w:t>
      </w:r>
      <w:r w:rsidR="003F7C45">
        <w:t xml:space="preserve"> ordinary competitive </w:t>
      </w:r>
      <w:r w:rsidR="006337E8">
        <w:t>examination</w:t>
      </w:r>
      <w:r w:rsidR="00AA2713">
        <w:t xml:space="preserve">; and 125 </w:t>
      </w:r>
      <w:r w:rsidR="00724E28">
        <w:t>positions for magistrates</w:t>
      </w:r>
      <w:r w:rsidR="00C50461">
        <w:t xml:space="preserve">, through </w:t>
      </w:r>
      <w:r w:rsidR="000B0E53">
        <w:t>a</w:t>
      </w:r>
      <w:r w:rsidR="00C50461">
        <w:t xml:space="preserve"> </w:t>
      </w:r>
      <w:r w:rsidR="006337E8" w:rsidRPr="006337E8">
        <w:t>merit-based competitive examination</w:t>
      </w:r>
      <w:r w:rsidR="00E843E9">
        <w:t xml:space="preserve"> (</w:t>
      </w:r>
      <w:r w:rsidR="00E843E9" w:rsidRPr="004B2E9E">
        <w:rPr>
          <w:i/>
          <w:iCs/>
        </w:rPr>
        <w:t>cuarto turno</w:t>
      </w:r>
      <w:r w:rsidR="00E843E9">
        <w:t>),</w:t>
      </w:r>
      <w:r w:rsidR="00724E28">
        <w:t xml:space="preserve"> </w:t>
      </w:r>
      <w:r>
        <w:t>Council for the Judiciary (2026d</w:t>
      </w:r>
      <w:r w:rsidR="00127AB6">
        <w:t>,</w:t>
      </w:r>
      <w:r w:rsidR="003C2207">
        <w:t xml:space="preserve"> </w:t>
      </w:r>
      <w:r w:rsidR="00A450D1">
        <w:t>2026f</w:t>
      </w:r>
      <w:r w:rsidR="00127AB6">
        <w:t xml:space="preserve"> and 2026g</w:t>
      </w:r>
      <w:r>
        <w:t>).</w:t>
      </w:r>
    </w:p>
  </w:footnote>
  <w:footnote w:id="28">
    <w:p w14:paraId="2A5B4E4A" w14:textId="77777777" w:rsidR="00933ED2" w:rsidRPr="00A151C8" w:rsidRDefault="00933ED2" w:rsidP="00B2260E">
      <w:pPr>
        <w:pStyle w:val="FootnoteText"/>
        <w:rPr>
          <w:lang w:val="en-IE"/>
        </w:rPr>
      </w:pPr>
      <w:r>
        <w:rPr>
          <w:rStyle w:val="FootnoteReference"/>
        </w:rPr>
        <w:footnoteRef/>
      </w:r>
      <w:r>
        <w:t xml:space="preserve"> </w:t>
      </w:r>
      <w:r>
        <w:tab/>
        <w:t>Country visit Spain, Council for the Judiciary.</w:t>
      </w:r>
    </w:p>
  </w:footnote>
  <w:footnote w:id="29">
    <w:p w14:paraId="0BD72648" w14:textId="00F861A2" w:rsidR="00933ED2" w:rsidRPr="00D35CB4" w:rsidRDefault="00933ED2" w:rsidP="00B2260E">
      <w:pPr>
        <w:pStyle w:val="FootnoteText"/>
        <w:rPr>
          <w:lang w:val="en-IE"/>
        </w:rPr>
      </w:pPr>
      <w:r>
        <w:rPr>
          <w:rStyle w:val="FootnoteReference"/>
        </w:rPr>
        <w:footnoteRef/>
      </w:r>
      <w:r>
        <w:t xml:space="preserve"> </w:t>
      </w:r>
      <w:r>
        <w:tab/>
      </w:r>
      <w:r w:rsidR="00E332CF">
        <w:t xml:space="preserve">Figure 36, </w:t>
      </w:r>
      <w:r w:rsidRPr="00DA40B1">
        <w:rPr>
          <w:lang w:val="en-IE"/>
        </w:rPr>
        <w:t>2026 EU Justice Scoreboard.</w:t>
      </w:r>
    </w:p>
  </w:footnote>
  <w:footnote w:id="30">
    <w:p w14:paraId="57E45C61" w14:textId="77777777" w:rsidR="00933ED2" w:rsidRPr="00C92F40" w:rsidRDefault="00933ED2" w:rsidP="00B2260E">
      <w:pPr>
        <w:pStyle w:val="FootnoteText"/>
      </w:pPr>
      <w:r>
        <w:rPr>
          <w:rStyle w:val="FootnoteReference"/>
        </w:rPr>
        <w:footnoteRef/>
      </w:r>
      <w:r>
        <w:t xml:space="preserve"> </w:t>
      </w:r>
      <w:r>
        <w:tab/>
      </w:r>
      <w:r w:rsidRPr="001D3AB9">
        <w:t>Congress (2025)</w:t>
      </w:r>
      <w:r>
        <w:t>.</w:t>
      </w:r>
    </w:p>
  </w:footnote>
  <w:footnote w:id="31">
    <w:p w14:paraId="6EB8CA9E" w14:textId="77777777" w:rsidR="00933ED2" w:rsidRPr="00DA40B1" w:rsidRDefault="00933ED2" w:rsidP="00B2260E">
      <w:pPr>
        <w:pStyle w:val="FootnoteText"/>
      </w:pPr>
      <w:r>
        <w:rPr>
          <w:rStyle w:val="FootnoteReference"/>
        </w:rPr>
        <w:footnoteRef/>
      </w:r>
      <w:r>
        <w:t xml:space="preserve"> </w:t>
      </w:r>
      <w:r>
        <w:tab/>
      </w:r>
      <w:r w:rsidRPr="00CB43B7">
        <w:t>Such measures include modifications to the ordinary competition system and new access mechanisms for stabilisation processes with requirements that differ from those used in ordinary competitions.</w:t>
      </w:r>
      <w:r>
        <w:t xml:space="preserve"> Country visit Spain, Professional Association of Magistracy, Judges and Magistrates Association</w:t>
      </w:r>
      <w:r w:rsidRPr="00C64E43">
        <w:t xml:space="preserve"> </w:t>
      </w:r>
      <w:r w:rsidRPr="00E5565C">
        <w:t>“Francisco de Vitoria”</w:t>
      </w:r>
      <w:r>
        <w:t xml:space="preserve">, Independent Judicial Forum, Association of Prosecutors and </w:t>
      </w:r>
      <w:r w:rsidRPr="003427D7">
        <w:t>Professional and Independent Association of Prosecutors</w:t>
      </w:r>
      <w:r>
        <w:t xml:space="preserve">. </w:t>
      </w:r>
    </w:p>
  </w:footnote>
  <w:footnote w:id="32">
    <w:p w14:paraId="4241FB98" w14:textId="77777777" w:rsidR="00933ED2" w:rsidRPr="008B0002" w:rsidRDefault="00933ED2" w:rsidP="00B2260E">
      <w:pPr>
        <w:pStyle w:val="FootnoteText"/>
      </w:pPr>
      <w:r>
        <w:rPr>
          <w:rStyle w:val="FootnoteReference"/>
        </w:rPr>
        <w:footnoteRef/>
      </w:r>
      <w:r>
        <w:t xml:space="preserve"> </w:t>
      </w:r>
      <w:r>
        <w:tab/>
        <w:t xml:space="preserve">Country visit Spain, Judges for Democracy and </w:t>
      </w:r>
      <w:r w:rsidRPr="008B0002">
        <w:t>Progressive Union of Prosecutors</w:t>
      </w:r>
      <w:r>
        <w:t>.</w:t>
      </w:r>
    </w:p>
  </w:footnote>
  <w:footnote w:id="33">
    <w:p w14:paraId="785DDB25" w14:textId="77777777" w:rsidR="00933ED2" w:rsidRPr="003C093C" w:rsidRDefault="00933ED2" w:rsidP="00B2260E">
      <w:pPr>
        <w:pStyle w:val="FootnoteText"/>
      </w:pPr>
      <w:r>
        <w:rPr>
          <w:rStyle w:val="FootnoteReference"/>
        </w:rPr>
        <w:footnoteRef/>
      </w:r>
      <w:r>
        <w:t xml:space="preserve"> </w:t>
      </w:r>
      <w:r>
        <w:tab/>
      </w:r>
      <w:r w:rsidDel="00F17C1F">
        <w:t xml:space="preserve">Judges and Magistrates Association </w:t>
      </w:r>
      <w:r w:rsidRPr="00E5565C" w:rsidDel="00F17C1F">
        <w:t>“Francisco de Vitoria” (202</w:t>
      </w:r>
      <w:r w:rsidDel="00F17C1F">
        <w:t>6</w:t>
      </w:r>
      <w:r w:rsidRPr="00E5565C" w:rsidDel="00F17C1F">
        <w:t>), written input, p. 4</w:t>
      </w:r>
      <w:r w:rsidDel="00F17C1F">
        <w:t>; country visit Spain, Judges for Democracy</w:t>
      </w:r>
      <w:r>
        <w:t xml:space="preserve">; </w:t>
      </w:r>
      <w:r w:rsidDel="00F17C1F">
        <w:t xml:space="preserve">Country visit Spain, Association of Prosecutors and </w:t>
      </w:r>
      <w:r w:rsidRPr="00A56850" w:rsidDel="00F17C1F">
        <w:t>Professional and Independent Association of Prosecutors</w:t>
      </w:r>
      <w:r w:rsidDel="00F17C1F">
        <w:t>.</w:t>
      </w:r>
    </w:p>
  </w:footnote>
  <w:footnote w:id="34">
    <w:p w14:paraId="43AD0DFB" w14:textId="77777777" w:rsidR="00933ED2" w:rsidRPr="00F8474B" w:rsidRDefault="00933ED2" w:rsidP="00B2260E">
      <w:pPr>
        <w:pStyle w:val="FootnoteText"/>
        <w:rPr>
          <w:lang w:val="en-IE"/>
        </w:rPr>
      </w:pPr>
      <w:r>
        <w:rPr>
          <w:rStyle w:val="FootnoteReference"/>
        </w:rPr>
        <w:footnoteRef/>
      </w:r>
      <w:r>
        <w:t xml:space="preserve"> </w:t>
      </w:r>
      <w:r>
        <w:tab/>
      </w:r>
      <w:r>
        <w:rPr>
          <w:lang w:val="en-IE"/>
        </w:rPr>
        <w:t>Spanish Government (2026), written input, p. 9.</w:t>
      </w:r>
    </w:p>
  </w:footnote>
  <w:footnote w:id="35">
    <w:p w14:paraId="60FE339E" w14:textId="77777777" w:rsidR="00933ED2" w:rsidRPr="002E77DC" w:rsidRDefault="00933ED2" w:rsidP="00B2260E">
      <w:pPr>
        <w:pStyle w:val="FootnoteText"/>
        <w:rPr>
          <w:lang w:val="en-IE"/>
        </w:rPr>
      </w:pPr>
      <w:r>
        <w:rPr>
          <w:rStyle w:val="FootnoteReference"/>
        </w:rPr>
        <w:footnoteRef/>
      </w:r>
      <w:r>
        <w:t xml:space="preserve"> </w:t>
      </w:r>
      <w:r>
        <w:tab/>
        <w:t>Country visit Spain, Professional Association of Magistracy, Judges and Magistrates Association</w:t>
      </w:r>
      <w:r w:rsidRPr="00C64E43">
        <w:t xml:space="preserve"> </w:t>
      </w:r>
      <w:r w:rsidRPr="00E5565C">
        <w:t>“Francisco de Vitoria”</w:t>
      </w:r>
      <w:r>
        <w:t>, Independent Judicial Forum</w:t>
      </w:r>
      <w:r>
        <w:rPr>
          <w:lang w:val="en-IE"/>
        </w:rPr>
        <w:t xml:space="preserve"> and </w:t>
      </w:r>
      <w:r>
        <w:t>Judges for Democracy. See also Rule of Law Reports 2024 and 2025.</w:t>
      </w:r>
    </w:p>
  </w:footnote>
  <w:footnote w:id="36">
    <w:p w14:paraId="130F21A6" w14:textId="77777777" w:rsidR="00933ED2" w:rsidRPr="00CE6AE1" w:rsidRDefault="00933ED2" w:rsidP="00B2260E">
      <w:pPr>
        <w:pStyle w:val="FootnoteText"/>
      </w:pPr>
      <w:r>
        <w:rPr>
          <w:rStyle w:val="FootnoteReference"/>
        </w:rPr>
        <w:footnoteRef/>
      </w:r>
      <w:r>
        <w:t xml:space="preserve"> </w:t>
      </w:r>
      <w:r>
        <w:tab/>
        <w:t xml:space="preserve">Country visit Spain, Council for the </w:t>
      </w:r>
      <w:r w:rsidRPr="00201C27">
        <w:t xml:space="preserve">Judiciary; </w:t>
      </w:r>
      <w:r>
        <w:t>Council for the Judiciary (2024)</w:t>
      </w:r>
      <w:r w:rsidRPr="00201C27">
        <w:t>.</w:t>
      </w:r>
    </w:p>
  </w:footnote>
  <w:footnote w:id="37">
    <w:p w14:paraId="468A8A56" w14:textId="77777777" w:rsidR="00933ED2" w:rsidRPr="002E6A98" w:rsidRDefault="00933ED2" w:rsidP="00B2260E">
      <w:pPr>
        <w:pStyle w:val="FootnoteText"/>
      </w:pPr>
      <w:r>
        <w:rPr>
          <w:rStyle w:val="FootnoteReference"/>
        </w:rPr>
        <w:footnoteRef/>
      </w:r>
      <w:r>
        <w:t xml:space="preserve"> </w:t>
      </w:r>
      <w:r>
        <w:tab/>
        <w:t>Country visit Spain, Council for the Judiciary and Spanish Government.</w:t>
      </w:r>
      <w:r w:rsidRPr="006D4F7E">
        <w:t xml:space="preserve"> </w:t>
      </w:r>
      <w:r>
        <w:t>Council for the Judiciary (2025), p. 268.</w:t>
      </w:r>
    </w:p>
  </w:footnote>
  <w:footnote w:id="38">
    <w:p w14:paraId="4BE9E573" w14:textId="5963CD39" w:rsidR="00933ED2" w:rsidRPr="00485F31" w:rsidRDefault="00933ED2" w:rsidP="00B2260E">
      <w:pPr>
        <w:pStyle w:val="FootnoteText"/>
      </w:pPr>
      <w:r>
        <w:rPr>
          <w:rStyle w:val="FootnoteReference"/>
        </w:rPr>
        <w:footnoteRef/>
      </w:r>
      <w:r>
        <w:t xml:space="preserve"> </w:t>
      </w:r>
      <w:r>
        <w:tab/>
      </w:r>
      <w:r w:rsidR="00E332CF">
        <w:t>F</w:t>
      </w:r>
      <w:r w:rsidR="00E332CF" w:rsidRPr="00DA40B1">
        <w:t>igures 39-47</w:t>
      </w:r>
      <w:r w:rsidR="00E332CF">
        <w:t xml:space="preserve">, </w:t>
      </w:r>
      <w:r w:rsidRPr="00DA40B1">
        <w:t>2026 EU Justice Scoreboard.</w:t>
      </w:r>
    </w:p>
  </w:footnote>
  <w:footnote w:id="39">
    <w:p w14:paraId="67144F4E" w14:textId="77777777" w:rsidR="00933ED2" w:rsidRPr="005008D6" w:rsidRDefault="00933ED2" w:rsidP="00B2260E">
      <w:pPr>
        <w:pStyle w:val="FootnoteText"/>
      </w:pPr>
      <w:r>
        <w:rPr>
          <w:rStyle w:val="FootnoteReference"/>
        </w:rPr>
        <w:footnoteRef/>
      </w:r>
      <w:r>
        <w:t xml:space="preserve"> </w:t>
      </w:r>
      <w:r>
        <w:tab/>
        <w:t>Council for the Judiciary (2026a).</w:t>
      </w:r>
    </w:p>
  </w:footnote>
  <w:footnote w:id="40">
    <w:p w14:paraId="11335E12" w14:textId="77777777" w:rsidR="00933ED2" w:rsidRPr="00A4419A" w:rsidRDefault="00933ED2" w:rsidP="00B2260E">
      <w:pPr>
        <w:pStyle w:val="FootnoteText"/>
      </w:pPr>
      <w:r>
        <w:rPr>
          <w:rStyle w:val="FootnoteReference"/>
        </w:rPr>
        <w:footnoteRef/>
      </w:r>
      <w:r>
        <w:t xml:space="preserve"> </w:t>
      </w:r>
      <w:r>
        <w:tab/>
      </w:r>
      <w:r w:rsidRPr="00B95CFC">
        <w:t>Technical Cabinet of the Prosecutor General’s Office</w:t>
      </w:r>
      <w:r>
        <w:t xml:space="preserve"> (2026a), additional written input, p. 7.</w:t>
      </w:r>
    </w:p>
  </w:footnote>
  <w:footnote w:id="41">
    <w:p w14:paraId="7AACA03E" w14:textId="77777777" w:rsidR="00933ED2" w:rsidRPr="00C14A04" w:rsidRDefault="00933ED2" w:rsidP="00B2260E">
      <w:pPr>
        <w:pStyle w:val="FootnoteText"/>
      </w:pPr>
      <w:r>
        <w:rPr>
          <w:rStyle w:val="FootnoteReference"/>
        </w:rPr>
        <w:footnoteRef/>
      </w:r>
      <w:r>
        <w:t xml:space="preserve"> </w:t>
      </w:r>
      <w:r>
        <w:tab/>
        <w:t xml:space="preserve">Spanish Government (2026), written input, pp. 7-8 and 10-12. </w:t>
      </w:r>
    </w:p>
  </w:footnote>
  <w:footnote w:id="42">
    <w:p w14:paraId="4B8C6435" w14:textId="77777777" w:rsidR="00933ED2" w:rsidRPr="006052D8" w:rsidRDefault="00933ED2" w:rsidP="00B2260E">
      <w:pPr>
        <w:pStyle w:val="FootnoteText"/>
      </w:pPr>
      <w:r>
        <w:rPr>
          <w:rStyle w:val="FootnoteReference"/>
        </w:rPr>
        <w:footnoteRef/>
      </w:r>
      <w:r>
        <w:t xml:space="preserve"> </w:t>
      </w:r>
      <w:r>
        <w:tab/>
      </w:r>
      <w:r w:rsidRPr="00BB6231">
        <w:t xml:space="preserve">Technical Cabinet of the </w:t>
      </w:r>
      <w:r>
        <w:t>Supreme Court</w:t>
      </w:r>
      <w:r w:rsidRPr="00BB6231">
        <w:t xml:space="preserve"> (2026</w:t>
      </w:r>
      <w:r>
        <w:t>a</w:t>
      </w:r>
      <w:r w:rsidRPr="00BB6231">
        <w:t>), additional written</w:t>
      </w:r>
      <w:r>
        <w:t xml:space="preserve"> input, pp. 1-3; </w:t>
      </w:r>
      <w:r w:rsidRPr="006D3099">
        <w:t>Letrados de la Administración de Justicia (Rechtspfleger)</w:t>
      </w:r>
      <w:r>
        <w:t xml:space="preserve"> (2026), written input pp. 11-14. Country visit Spain, </w:t>
      </w:r>
      <w:r w:rsidRPr="00B95CFC">
        <w:t>Technical Cabinet of the Prosecutor General’s Office</w:t>
      </w:r>
      <w:r>
        <w:t xml:space="preserve">, Progressive Union of Prosecutors, </w:t>
      </w:r>
      <w:r w:rsidRPr="00A736B5">
        <w:t>Letrados de la Administración de Justicia (Rechtspfleger)</w:t>
      </w:r>
      <w:r>
        <w:t>, A</w:t>
      </w:r>
      <w:r w:rsidRPr="00B516CB">
        <w:t>ssociation of “Abogados del Estado”</w:t>
      </w:r>
      <w:r>
        <w:t xml:space="preserve">, </w:t>
      </w:r>
      <w:r w:rsidRPr="006052D8">
        <w:t>General Council of Spanish Lawyers</w:t>
      </w:r>
      <w:r>
        <w:t>.</w:t>
      </w:r>
    </w:p>
  </w:footnote>
  <w:footnote w:id="43">
    <w:p w14:paraId="63ED1E7E" w14:textId="77777777" w:rsidR="00933ED2" w:rsidRPr="007361B3" w:rsidRDefault="00933ED2" w:rsidP="00B2260E">
      <w:pPr>
        <w:pStyle w:val="FootnoteText"/>
      </w:pPr>
      <w:r>
        <w:rPr>
          <w:rStyle w:val="FootnoteReference"/>
        </w:rPr>
        <w:footnoteRef/>
      </w:r>
      <w:r>
        <w:t xml:space="preserve"> </w:t>
      </w:r>
      <w:r>
        <w:tab/>
      </w:r>
      <w:r w:rsidRPr="00F47B09">
        <w:rPr>
          <w:lang w:val="en-IE"/>
        </w:rPr>
        <w:t>Country visit Spain</w:t>
      </w:r>
      <w:r>
        <w:rPr>
          <w:lang w:val="en-IE"/>
        </w:rPr>
        <w:t xml:space="preserve">, </w:t>
      </w:r>
      <w:r w:rsidRPr="00B95CFC">
        <w:t>Technical Cabinet of the Prosecutor General’s Office</w:t>
      </w:r>
      <w:r>
        <w:t xml:space="preserve">, Technical Cabinet of the Supreme Court, </w:t>
      </w:r>
      <w:r w:rsidRPr="00075E20">
        <w:t>Letrados de la Administración de Justicia (Rechtspfleger)</w:t>
      </w:r>
      <w:r>
        <w:t xml:space="preserve">, </w:t>
      </w:r>
      <w:r w:rsidRPr="006052D8">
        <w:t>General Council of Spanish Lawyers</w:t>
      </w:r>
      <w:r>
        <w:t>.</w:t>
      </w:r>
    </w:p>
  </w:footnote>
  <w:footnote w:id="44">
    <w:p w14:paraId="1AB7AE6E" w14:textId="77777777" w:rsidR="00933ED2" w:rsidRPr="00EB7EA9" w:rsidRDefault="00933ED2" w:rsidP="00B2260E">
      <w:pPr>
        <w:pStyle w:val="FootnoteText"/>
      </w:pPr>
      <w:r>
        <w:rPr>
          <w:rStyle w:val="FootnoteReference"/>
        </w:rPr>
        <w:footnoteRef/>
      </w:r>
      <w:r>
        <w:t xml:space="preserve"> </w:t>
      </w:r>
      <w:r>
        <w:tab/>
        <w:t>Spanish Chamber of Commerce (2026), written input, p. 2.</w:t>
      </w:r>
    </w:p>
  </w:footnote>
  <w:footnote w:id="45">
    <w:p w14:paraId="51C21E46" w14:textId="6D3B699D" w:rsidR="00E03FC7" w:rsidRPr="00F807B5" w:rsidRDefault="00E03FC7" w:rsidP="00B2260E">
      <w:pPr>
        <w:pStyle w:val="FootnoteText"/>
        <w:rPr>
          <w:lang w:val="en-IE"/>
        </w:rPr>
      </w:pPr>
      <w:r>
        <w:rPr>
          <w:rStyle w:val="FootnoteReference"/>
        </w:rPr>
        <w:footnoteRef/>
      </w:r>
      <w:r>
        <w:tab/>
      </w:r>
      <w:r w:rsidRPr="00E03FC7">
        <w:t>In the context of the European Semester, the Commission has proposed that the Council recommend</w:t>
      </w:r>
      <w:r w:rsidR="00FB7C5A">
        <w:t>s</w:t>
      </w:r>
      <w:r w:rsidRPr="00E03FC7">
        <w:t xml:space="preserve"> that </w:t>
      </w:r>
      <w:r>
        <w:t>Spain</w:t>
      </w:r>
      <w:r w:rsidRPr="00E03FC7">
        <w:t xml:space="preserve"> “</w:t>
      </w:r>
      <w:r w:rsidR="002553FC">
        <w:t>[i]</w:t>
      </w:r>
      <w:r w:rsidR="0071378E" w:rsidRPr="0071378E">
        <w:t>mprove</w:t>
      </w:r>
      <w:r w:rsidR="00FB7C5A">
        <w:t>[s]</w:t>
      </w:r>
      <w:r w:rsidR="0071378E" w:rsidRPr="0071378E">
        <w:t xml:space="preserve"> the performance of the justice system by ensuring adequate staffing, harmonised digitalisation and full interoperability across regions</w:t>
      </w:r>
      <w:r w:rsidRPr="00E03FC7">
        <w:t>”. European Commission (2026</w:t>
      </w:r>
      <w:r w:rsidR="00CD3F75">
        <w:t>a</w:t>
      </w:r>
      <w:r w:rsidRPr="00E03FC7">
        <w:t xml:space="preserve">) </w:t>
      </w:r>
      <w:r w:rsidR="0071378E">
        <w:t>209</w:t>
      </w:r>
      <w:r w:rsidRPr="00E03FC7">
        <w:t xml:space="preserve"> final, CSR 3.</w:t>
      </w:r>
    </w:p>
  </w:footnote>
  <w:footnote w:id="46">
    <w:p w14:paraId="13AB5F98" w14:textId="77777777" w:rsidR="00933ED2" w:rsidRPr="00F47B09" w:rsidRDefault="00933ED2" w:rsidP="00B2260E">
      <w:pPr>
        <w:pStyle w:val="FootnoteText"/>
        <w:rPr>
          <w:lang w:val="en-IE"/>
        </w:rPr>
      </w:pPr>
      <w:r>
        <w:rPr>
          <w:rStyle w:val="FootnoteReference"/>
        </w:rPr>
        <w:footnoteRef/>
      </w:r>
      <w:r w:rsidRPr="00F47B09">
        <w:rPr>
          <w:lang w:val="en-IE"/>
        </w:rPr>
        <w:t xml:space="preserve"> </w:t>
      </w:r>
      <w:r>
        <w:rPr>
          <w:lang w:val="en-IE"/>
        </w:rPr>
        <w:tab/>
      </w:r>
      <w:r w:rsidRPr="00F47B09">
        <w:rPr>
          <w:lang w:val="en-IE"/>
        </w:rPr>
        <w:t xml:space="preserve">Country visit Spain, </w:t>
      </w:r>
      <w:r w:rsidRPr="006D3099">
        <w:t>Letrados de la Administración de Justicia (Rechtspfleger)</w:t>
      </w:r>
      <w:r>
        <w:t xml:space="preserve">, </w:t>
      </w:r>
      <w:r w:rsidRPr="00F47B09">
        <w:rPr>
          <w:lang w:val="en-IE"/>
        </w:rPr>
        <w:t xml:space="preserve">Association of “Abogados del Estado”, </w:t>
      </w:r>
      <w:r w:rsidRPr="006052D8">
        <w:t>General Council of Spanish Lawyers</w:t>
      </w:r>
      <w:r>
        <w:t xml:space="preserve">, </w:t>
      </w:r>
      <w:r w:rsidRPr="00B95CFC">
        <w:t>Technical Cabinet of the Prosecutor General’s Office</w:t>
      </w:r>
      <w:r>
        <w:t xml:space="preserve">, </w:t>
      </w:r>
      <w:r w:rsidRPr="004E54A6">
        <w:t>Technical Cabinet of the</w:t>
      </w:r>
      <w:r>
        <w:t xml:space="preserve"> Supreme Court. </w:t>
      </w:r>
    </w:p>
  </w:footnote>
  <w:footnote w:id="47">
    <w:p w14:paraId="307F1573" w14:textId="2D1D6AF1" w:rsidR="00933ED2" w:rsidRPr="00A50F85" w:rsidRDefault="00933ED2" w:rsidP="00B2260E">
      <w:pPr>
        <w:pStyle w:val="FootnoteText"/>
        <w:rPr>
          <w:lang w:val="en-IE"/>
        </w:rPr>
      </w:pPr>
      <w:r>
        <w:rPr>
          <w:rStyle w:val="FootnoteReference"/>
        </w:rPr>
        <w:footnoteRef/>
      </w:r>
      <w:r>
        <w:t xml:space="preserve"> </w:t>
      </w:r>
      <w:r>
        <w:tab/>
      </w:r>
      <w:r w:rsidRPr="00B313E9">
        <w:t>Supreme Court (2025)</w:t>
      </w:r>
      <w:r>
        <w:t xml:space="preserve">. </w:t>
      </w:r>
    </w:p>
  </w:footnote>
  <w:footnote w:id="48">
    <w:p w14:paraId="16669E58" w14:textId="77777777" w:rsidR="00933ED2" w:rsidRPr="0041284E" w:rsidRDefault="00933ED2" w:rsidP="00B2260E">
      <w:pPr>
        <w:pStyle w:val="FootnoteText"/>
        <w:rPr>
          <w:lang w:val="en-IE"/>
        </w:rPr>
      </w:pPr>
      <w:r>
        <w:rPr>
          <w:rStyle w:val="FootnoteReference"/>
        </w:rPr>
        <w:footnoteRef/>
      </w:r>
      <w:r>
        <w:t xml:space="preserve"> </w:t>
      </w:r>
      <w:r>
        <w:tab/>
      </w:r>
      <w:r>
        <w:rPr>
          <w:lang w:val="en-IE"/>
        </w:rPr>
        <w:t>Council for the Judiciary (2025b)</w:t>
      </w:r>
      <w:r w:rsidRPr="00486499">
        <w:rPr>
          <w:lang w:val="en-IE"/>
        </w:rPr>
        <w:t>.</w:t>
      </w:r>
    </w:p>
  </w:footnote>
  <w:footnote w:id="49">
    <w:p w14:paraId="79D546F8" w14:textId="77777777" w:rsidR="00933ED2" w:rsidRDefault="00933ED2" w:rsidP="00B2260E">
      <w:pPr>
        <w:pStyle w:val="FootnoteText"/>
      </w:pPr>
      <w:r w:rsidRPr="003E3E23">
        <w:rPr>
          <w:rStyle w:val="FootnoteReference"/>
        </w:rPr>
        <w:footnoteRef/>
      </w:r>
      <w:r>
        <w:t xml:space="preserve"> </w:t>
      </w:r>
      <w:r>
        <w:tab/>
      </w:r>
      <w:r w:rsidRPr="5A44FE1F">
        <w:t xml:space="preserve">See Milestone 434 of the Spanish Recovery and Resilience Plan (RRP). The assessment related to Milestone 434 in the Rule of Law </w:t>
      </w:r>
      <w:r>
        <w:t>R</w:t>
      </w:r>
      <w:r w:rsidRPr="5A44FE1F">
        <w:t>eport does not prejudge the assessment of the fulfilment of the measures in the framework of the Spanish RRP.</w:t>
      </w:r>
    </w:p>
  </w:footnote>
  <w:footnote w:id="50">
    <w:p w14:paraId="0610905C" w14:textId="77777777" w:rsidR="00933ED2" w:rsidRPr="008E4235" w:rsidRDefault="00933ED2" w:rsidP="00B2260E">
      <w:pPr>
        <w:pStyle w:val="FootnoteText"/>
        <w:rPr>
          <w:lang w:val="en-IE"/>
        </w:rPr>
      </w:pPr>
      <w:r>
        <w:rPr>
          <w:rStyle w:val="FootnoteReference"/>
        </w:rPr>
        <w:footnoteRef/>
      </w:r>
      <w:r>
        <w:t xml:space="preserve"> </w:t>
      </w:r>
      <w:r>
        <w:tab/>
      </w:r>
      <w:r>
        <w:rPr>
          <w:lang w:val="en-IE"/>
        </w:rPr>
        <w:t xml:space="preserve">Organic Law 1/2025, of 2 January 2025, </w:t>
      </w:r>
      <w:r w:rsidRPr="00995585">
        <w:rPr>
          <w:lang w:val="en-IE"/>
        </w:rPr>
        <w:t>on measures relating to the efficiency of the Public Justice Service</w:t>
      </w:r>
      <w:r>
        <w:rPr>
          <w:lang w:val="en-IE"/>
        </w:rPr>
        <w:t>.</w:t>
      </w:r>
    </w:p>
  </w:footnote>
  <w:footnote w:id="51">
    <w:p w14:paraId="447EBB11" w14:textId="77777777" w:rsidR="00933ED2" w:rsidRPr="00D233BB" w:rsidRDefault="00933ED2" w:rsidP="00B2260E">
      <w:pPr>
        <w:pStyle w:val="FootnoteText"/>
        <w:rPr>
          <w:lang w:val="en-IE"/>
        </w:rPr>
      </w:pPr>
      <w:r>
        <w:rPr>
          <w:rStyle w:val="FootnoteReference"/>
        </w:rPr>
        <w:footnoteRef/>
      </w:r>
      <w:r>
        <w:t xml:space="preserve"> </w:t>
      </w:r>
      <w:r>
        <w:tab/>
      </w:r>
      <w:r>
        <w:rPr>
          <w:lang w:val="en-IE"/>
        </w:rPr>
        <w:t>Spanish Government (2026), written input, pp. 13-14.</w:t>
      </w:r>
    </w:p>
  </w:footnote>
  <w:footnote w:id="52">
    <w:p w14:paraId="4CDB4401" w14:textId="77777777" w:rsidR="00933ED2" w:rsidRPr="00337DF7" w:rsidRDefault="00933ED2" w:rsidP="00B2260E">
      <w:pPr>
        <w:pStyle w:val="FootnoteText"/>
      </w:pPr>
      <w:r>
        <w:rPr>
          <w:rStyle w:val="FootnoteReference"/>
        </w:rPr>
        <w:footnoteRef/>
      </w:r>
      <w:r>
        <w:t xml:space="preserve"> </w:t>
      </w:r>
      <w:r>
        <w:tab/>
      </w:r>
      <w:r w:rsidRPr="006D3099">
        <w:t>Letrados de la Administración de Justicia (Rechtspfleger)</w:t>
      </w:r>
      <w:r w:rsidRPr="008249F6" w:rsidDel="00E25547">
        <w:t xml:space="preserve"> </w:t>
      </w:r>
      <w:r>
        <w:rPr>
          <w:lang w:val="en-IE"/>
        </w:rPr>
        <w:t xml:space="preserve">(2026), written input, p. 8; </w:t>
      </w:r>
      <w:r w:rsidRPr="00E25547">
        <w:rPr>
          <w:lang w:val="en-IE"/>
        </w:rPr>
        <w:t>Technical Cabinet of the Supreme Court (2026</w:t>
      </w:r>
      <w:r>
        <w:rPr>
          <w:lang w:val="en-IE"/>
        </w:rPr>
        <w:t>a</w:t>
      </w:r>
      <w:r w:rsidRPr="00E25547">
        <w:rPr>
          <w:lang w:val="en-IE"/>
        </w:rPr>
        <w:t>)</w:t>
      </w:r>
      <w:r>
        <w:rPr>
          <w:lang w:val="en-IE"/>
        </w:rPr>
        <w:t xml:space="preserve"> additional written input, p. 7; </w:t>
      </w:r>
      <w:r w:rsidRPr="00337DF7">
        <w:rPr>
          <w:lang w:val="en-IE"/>
        </w:rPr>
        <w:t>Technical Cabinet of the Prosecutor General’s Office</w:t>
      </w:r>
      <w:r>
        <w:rPr>
          <w:lang w:val="en-IE"/>
        </w:rPr>
        <w:t xml:space="preserve"> (2026a), additional written input, p. 7; country visit Spain, Judges for Democracy, </w:t>
      </w:r>
      <w:r w:rsidRPr="004D2EB3">
        <w:rPr>
          <w:lang w:val="en-IE"/>
        </w:rPr>
        <w:t>Association of “Abogados del Estado”</w:t>
      </w:r>
      <w:r>
        <w:rPr>
          <w:lang w:val="en-IE"/>
        </w:rPr>
        <w:t>.</w:t>
      </w:r>
    </w:p>
  </w:footnote>
  <w:footnote w:id="53">
    <w:p w14:paraId="12CCC97C" w14:textId="77777777" w:rsidR="00933ED2" w:rsidRPr="003E3E23" w:rsidRDefault="00933ED2" w:rsidP="00B2260E">
      <w:pPr>
        <w:pStyle w:val="FootnoteText"/>
        <w:rPr>
          <w:lang w:val="en-IE"/>
        </w:rPr>
      </w:pPr>
      <w:r>
        <w:rPr>
          <w:rStyle w:val="FootnoteReference"/>
        </w:rPr>
        <w:footnoteRef/>
      </w:r>
      <w:r>
        <w:t xml:space="preserve"> </w:t>
      </w:r>
      <w:r>
        <w:rPr>
          <w:lang w:val="en-IE"/>
        </w:rPr>
        <w:tab/>
        <w:t>All implementation stages took place within a nine month-period.</w:t>
      </w:r>
    </w:p>
  </w:footnote>
  <w:footnote w:id="54">
    <w:p w14:paraId="555A5BD5" w14:textId="77777777" w:rsidR="00933ED2" w:rsidRPr="00361F80" w:rsidRDefault="00933ED2" w:rsidP="00B2260E">
      <w:pPr>
        <w:pStyle w:val="FootnoteText"/>
        <w:rPr>
          <w:lang w:val="en-IE"/>
        </w:rPr>
      </w:pPr>
      <w:r>
        <w:rPr>
          <w:rStyle w:val="FootnoteReference"/>
        </w:rPr>
        <w:footnoteRef/>
      </w:r>
      <w:r>
        <w:tab/>
        <w:t xml:space="preserve">Country visit Spain, </w:t>
      </w:r>
      <w:r w:rsidRPr="005C37DD">
        <w:rPr>
          <w:lang w:val="en-IE"/>
        </w:rPr>
        <w:t>Technical Cabinet of the Prosecutor General’s Office</w:t>
      </w:r>
      <w:r>
        <w:rPr>
          <w:lang w:val="en-IE"/>
        </w:rPr>
        <w:t xml:space="preserve">, </w:t>
      </w:r>
      <w:r w:rsidRPr="000602A5">
        <w:t xml:space="preserve">Professional Association of </w:t>
      </w:r>
      <w:r>
        <w:t>the Magistracy, Independent Judicial Forum, Judges and Magistrates Association</w:t>
      </w:r>
      <w:r w:rsidRPr="00C64E43">
        <w:t xml:space="preserve"> </w:t>
      </w:r>
      <w:r>
        <w:t xml:space="preserve">“Francisco de Vitoria”, Judges for Democracy, </w:t>
      </w:r>
      <w:r w:rsidRPr="006D3099">
        <w:t>Letrados de la Administración de Justicia (Rechtspfleger</w:t>
      </w:r>
      <w:r>
        <w:t xml:space="preserve">), </w:t>
      </w:r>
      <w:r w:rsidRPr="004D2EB3">
        <w:rPr>
          <w:lang w:val="en-IE"/>
        </w:rPr>
        <w:t>Association of “Abogados del Estado”</w:t>
      </w:r>
      <w:r>
        <w:rPr>
          <w:lang w:val="en-IE"/>
        </w:rPr>
        <w:t xml:space="preserve">, CCOO, UGT, CEOE, CEPYME, </w:t>
      </w:r>
      <w:r>
        <w:rPr>
          <w:bCs/>
          <w:lang w:val="en-IE" w:eastAsia="fr-FR"/>
        </w:rPr>
        <w:t xml:space="preserve">General </w:t>
      </w:r>
      <w:r w:rsidRPr="007B700D">
        <w:rPr>
          <w:bCs/>
          <w:lang w:val="en-IE" w:eastAsia="fr-FR"/>
        </w:rPr>
        <w:t>Council of Lawyers</w:t>
      </w:r>
      <w:r>
        <w:rPr>
          <w:bCs/>
          <w:lang w:val="en-IE" w:eastAsia="fr-FR"/>
        </w:rPr>
        <w:t>; Ombudsperson (2026a), p. 137.</w:t>
      </w:r>
    </w:p>
  </w:footnote>
  <w:footnote w:id="55">
    <w:p w14:paraId="187FF1D2" w14:textId="190F2541" w:rsidR="001C0FB6" w:rsidRPr="00F807B5" w:rsidRDefault="001C0FB6">
      <w:pPr>
        <w:pStyle w:val="FootnoteText"/>
        <w:rPr>
          <w:lang w:val="en-IE"/>
        </w:rPr>
      </w:pPr>
      <w:r>
        <w:rPr>
          <w:rStyle w:val="FootnoteReference"/>
        </w:rPr>
        <w:footnoteRef/>
      </w:r>
      <w:r w:rsidRPr="00F807B5">
        <w:rPr>
          <w:lang w:val="en-IE"/>
        </w:rPr>
        <w:tab/>
      </w:r>
      <w:r w:rsidR="000A60E5">
        <w:rPr>
          <w:lang w:val="en-IE"/>
        </w:rPr>
        <w:t>Up to May 2026, there ha</w:t>
      </w:r>
      <w:r w:rsidR="00146D5A">
        <w:rPr>
          <w:lang w:val="en-IE"/>
        </w:rPr>
        <w:t>ve</w:t>
      </w:r>
      <w:r w:rsidR="000A60E5">
        <w:rPr>
          <w:lang w:val="en-IE"/>
        </w:rPr>
        <w:t xml:space="preserve"> been a</w:t>
      </w:r>
      <w:r w:rsidR="008C7183" w:rsidRPr="00F807B5">
        <w:rPr>
          <w:lang w:val="en-IE"/>
        </w:rPr>
        <w:t xml:space="preserve">lmost </w:t>
      </w:r>
      <w:r w:rsidR="00AB0343">
        <w:rPr>
          <w:lang w:val="en-IE"/>
        </w:rPr>
        <w:t>19 000</w:t>
      </w:r>
      <w:r w:rsidR="00956C8D" w:rsidRPr="00F807B5">
        <w:rPr>
          <w:lang w:val="en-IE"/>
        </w:rPr>
        <w:t xml:space="preserve"> participants</w:t>
      </w:r>
      <w:r w:rsidR="000465A7">
        <w:rPr>
          <w:lang w:val="en-IE"/>
        </w:rPr>
        <w:t xml:space="preserve"> in different trainings</w:t>
      </w:r>
      <w:r w:rsidR="000A60E5">
        <w:rPr>
          <w:lang w:val="en-IE"/>
        </w:rPr>
        <w:t>,</w:t>
      </w:r>
      <w:r w:rsidR="00956C8D" w:rsidRPr="00F807B5">
        <w:rPr>
          <w:lang w:val="en-IE"/>
        </w:rPr>
        <w:t xml:space="preserve"> </w:t>
      </w:r>
      <w:r w:rsidR="00D226B5" w:rsidRPr="00F807B5">
        <w:rPr>
          <w:lang w:val="en-IE"/>
        </w:rPr>
        <w:t xml:space="preserve">Spanish Government </w:t>
      </w:r>
      <w:r w:rsidR="00AE086E" w:rsidRPr="00F807B5">
        <w:rPr>
          <w:lang w:val="en-IE"/>
        </w:rPr>
        <w:t>(2026c)</w:t>
      </w:r>
      <w:r w:rsidR="009E1542">
        <w:rPr>
          <w:lang w:val="en-IE"/>
        </w:rPr>
        <w:t>, additional written input</w:t>
      </w:r>
      <w:r w:rsidR="00AE086E" w:rsidRPr="00F807B5">
        <w:rPr>
          <w:lang w:val="en-IE"/>
        </w:rPr>
        <w:t>.</w:t>
      </w:r>
    </w:p>
  </w:footnote>
  <w:footnote w:id="56">
    <w:p w14:paraId="0681E6A7" w14:textId="77777777" w:rsidR="00933ED2" w:rsidRPr="00B34450" w:rsidRDefault="00933ED2" w:rsidP="00B2260E">
      <w:pPr>
        <w:pStyle w:val="FootnoteText"/>
        <w:rPr>
          <w:lang w:val="es-ES"/>
        </w:rPr>
      </w:pPr>
      <w:r>
        <w:rPr>
          <w:rStyle w:val="FootnoteReference"/>
        </w:rPr>
        <w:footnoteRef/>
      </w:r>
      <w:r w:rsidRPr="00B34450">
        <w:rPr>
          <w:lang w:val="es-ES"/>
        </w:rPr>
        <w:t xml:space="preserve"> </w:t>
      </w:r>
      <w:r w:rsidRPr="00B34450">
        <w:rPr>
          <w:lang w:val="es-ES"/>
        </w:rPr>
        <w:tab/>
        <w:t xml:space="preserve">Country visit Spain, Letrados de la Administración de Justicia (Rechtspfleger), </w:t>
      </w:r>
      <w:r w:rsidRPr="00B34450">
        <w:rPr>
          <w:bCs/>
          <w:lang w:val="es-ES" w:eastAsia="fr-FR"/>
        </w:rPr>
        <w:t>CEOE and CEPYME.</w:t>
      </w:r>
    </w:p>
  </w:footnote>
  <w:footnote w:id="57">
    <w:p w14:paraId="407A5A34" w14:textId="77777777" w:rsidR="00933ED2" w:rsidRPr="00361F80" w:rsidRDefault="00933ED2" w:rsidP="00B2260E">
      <w:pPr>
        <w:pStyle w:val="FootnoteText"/>
        <w:rPr>
          <w:lang w:val="en-IE"/>
        </w:rPr>
      </w:pPr>
      <w:r>
        <w:rPr>
          <w:rStyle w:val="FootnoteReference"/>
        </w:rPr>
        <w:footnoteRef/>
      </w:r>
      <w:r>
        <w:t xml:space="preserve"> </w:t>
      </w:r>
      <w:r>
        <w:tab/>
      </w:r>
      <w:r>
        <w:rPr>
          <w:lang w:val="en-IE"/>
        </w:rPr>
        <w:t xml:space="preserve">Country visit Spain, </w:t>
      </w:r>
      <w:r>
        <w:rPr>
          <w:bCs/>
          <w:lang w:val="en-IE" w:eastAsia="fr-FR"/>
        </w:rPr>
        <w:t xml:space="preserve">General </w:t>
      </w:r>
      <w:r w:rsidRPr="007B700D">
        <w:rPr>
          <w:bCs/>
          <w:lang w:val="en-IE" w:eastAsia="fr-FR"/>
        </w:rPr>
        <w:t>Council of Lawyers</w:t>
      </w:r>
      <w:r>
        <w:rPr>
          <w:bCs/>
          <w:lang w:val="en-IE" w:eastAsia="fr-FR"/>
        </w:rPr>
        <w:t>, CEOE and CEPYME.</w:t>
      </w:r>
    </w:p>
  </w:footnote>
  <w:footnote w:id="58">
    <w:p w14:paraId="30E345F2" w14:textId="59A7094E" w:rsidR="00933ED2" w:rsidRPr="00A4763C" w:rsidRDefault="00933ED2" w:rsidP="00B2260E">
      <w:pPr>
        <w:pStyle w:val="FootnoteText"/>
        <w:rPr>
          <w:lang w:val="en-IE"/>
        </w:rPr>
      </w:pPr>
      <w:r>
        <w:rPr>
          <w:rStyle w:val="FootnoteReference"/>
        </w:rPr>
        <w:footnoteRef/>
      </w:r>
      <w:r>
        <w:t xml:space="preserve"> </w:t>
      </w:r>
      <w:r>
        <w:tab/>
      </w:r>
      <w:r w:rsidR="00E332CF">
        <w:rPr>
          <w:lang w:val="en-IE"/>
        </w:rPr>
        <w:t xml:space="preserve">Figure 5, </w:t>
      </w:r>
      <w:r w:rsidDel="00444AC0">
        <w:rPr>
          <w:lang w:val="en-IE"/>
        </w:rPr>
        <w:t xml:space="preserve">2026 </w:t>
      </w:r>
      <w:r>
        <w:rPr>
          <w:lang w:val="en-IE"/>
        </w:rPr>
        <w:t>Justice Scoreboard.</w:t>
      </w:r>
    </w:p>
  </w:footnote>
  <w:footnote w:id="59">
    <w:p w14:paraId="19FF3294" w14:textId="0BE85C8F" w:rsidR="00933ED2" w:rsidRPr="00A72C24" w:rsidRDefault="00933ED2" w:rsidP="00B2260E">
      <w:pPr>
        <w:pStyle w:val="FootnoteText"/>
        <w:rPr>
          <w:lang w:val="en-IE"/>
        </w:rPr>
      </w:pPr>
      <w:r>
        <w:rPr>
          <w:rStyle w:val="FootnoteReference"/>
        </w:rPr>
        <w:footnoteRef/>
      </w:r>
      <w:r>
        <w:t xml:space="preserve"> </w:t>
      </w:r>
      <w:r>
        <w:tab/>
      </w:r>
      <w:r w:rsidR="00E332CF">
        <w:rPr>
          <w:lang w:val="en-IE"/>
        </w:rPr>
        <w:t xml:space="preserve">Figure 6, </w:t>
      </w:r>
      <w:r>
        <w:rPr>
          <w:lang w:val="en-IE"/>
        </w:rPr>
        <w:t>2026 Justice Scoreboard.</w:t>
      </w:r>
    </w:p>
  </w:footnote>
  <w:footnote w:id="60">
    <w:p w14:paraId="6E440D30" w14:textId="398BFA58" w:rsidR="00933ED2" w:rsidRPr="00693F88" w:rsidRDefault="00933ED2" w:rsidP="00B2260E">
      <w:pPr>
        <w:pStyle w:val="FootnoteText"/>
        <w:rPr>
          <w:lang w:val="en-IE"/>
        </w:rPr>
      </w:pPr>
      <w:r>
        <w:rPr>
          <w:rStyle w:val="FootnoteReference"/>
        </w:rPr>
        <w:footnoteRef/>
      </w:r>
      <w:r>
        <w:t xml:space="preserve"> </w:t>
      </w:r>
      <w:r>
        <w:tab/>
      </w:r>
      <w:r w:rsidR="00E332CF">
        <w:rPr>
          <w:lang w:val="en-IE"/>
        </w:rPr>
        <w:t xml:space="preserve">Figure 12, </w:t>
      </w:r>
      <w:r>
        <w:rPr>
          <w:lang w:val="en-IE"/>
        </w:rPr>
        <w:t>2026 Justice Scoreboard.</w:t>
      </w:r>
    </w:p>
  </w:footnote>
  <w:footnote w:id="61">
    <w:p w14:paraId="43BAD7D5" w14:textId="0291482C" w:rsidR="00933ED2" w:rsidRPr="00CE06A1" w:rsidRDefault="00933ED2" w:rsidP="00B2260E">
      <w:pPr>
        <w:pStyle w:val="FootnoteText"/>
        <w:rPr>
          <w:lang w:val="en-IE"/>
        </w:rPr>
      </w:pPr>
      <w:r>
        <w:rPr>
          <w:rStyle w:val="FootnoteReference"/>
        </w:rPr>
        <w:footnoteRef/>
      </w:r>
      <w:r>
        <w:t xml:space="preserve"> </w:t>
      </w:r>
      <w:r>
        <w:tab/>
      </w:r>
      <w:r w:rsidR="00E332CF">
        <w:rPr>
          <w:lang w:val="en-IE"/>
        </w:rPr>
        <w:t xml:space="preserve">Figure 13, </w:t>
      </w:r>
      <w:r>
        <w:rPr>
          <w:lang w:val="en-IE"/>
        </w:rPr>
        <w:t>2026 Justice Scoreboard.</w:t>
      </w:r>
    </w:p>
  </w:footnote>
  <w:footnote w:id="62">
    <w:p w14:paraId="28240916" w14:textId="77777777" w:rsidR="00933ED2" w:rsidRPr="003E02DF" w:rsidRDefault="00933ED2" w:rsidP="00B2260E">
      <w:pPr>
        <w:pStyle w:val="FootnoteText"/>
        <w:rPr>
          <w:lang w:val="en-IE"/>
        </w:rPr>
      </w:pPr>
      <w:r>
        <w:rPr>
          <w:rStyle w:val="FootnoteReference"/>
        </w:rPr>
        <w:footnoteRef/>
      </w:r>
      <w:r>
        <w:t xml:space="preserve"> </w:t>
      </w:r>
      <w:r>
        <w:tab/>
        <w:t xml:space="preserve">Country visit Spain, Technical Cabinet of the </w:t>
      </w:r>
      <w:r>
        <w:rPr>
          <w:lang w:val="en-IE"/>
        </w:rPr>
        <w:t xml:space="preserve">Supreme Court and </w:t>
      </w:r>
      <w:r w:rsidRPr="004D2EB3">
        <w:rPr>
          <w:lang w:val="en-IE"/>
        </w:rPr>
        <w:t>Association of “Abogados del Estado”</w:t>
      </w:r>
      <w:r>
        <w:rPr>
          <w:lang w:val="en-IE"/>
        </w:rPr>
        <w:t>.</w:t>
      </w:r>
    </w:p>
  </w:footnote>
  <w:footnote w:id="63">
    <w:p w14:paraId="097D4E10" w14:textId="77777777" w:rsidR="00933ED2" w:rsidRPr="005E53A4" w:rsidRDefault="00933ED2" w:rsidP="00B2260E">
      <w:pPr>
        <w:pStyle w:val="FootnoteText"/>
        <w:rPr>
          <w:lang w:val="en-IE"/>
        </w:rPr>
      </w:pPr>
      <w:r>
        <w:rPr>
          <w:rStyle w:val="FootnoteReference"/>
        </w:rPr>
        <w:footnoteRef/>
      </w:r>
      <w:r>
        <w:tab/>
        <w:t xml:space="preserve">Technical Cabinet of the </w:t>
      </w:r>
      <w:r>
        <w:rPr>
          <w:lang w:val="en-IE"/>
        </w:rPr>
        <w:t>Supreme Court (2026a), additional written input, p. 4.</w:t>
      </w:r>
    </w:p>
  </w:footnote>
  <w:footnote w:id="64">
    <w:p w14:paraId="272870B7" w14:textId="77777777" w:rsidR="00933ED2" w:rsidRPr="000A5690" w:rsidRDefault="00933ED2" w:rsidP="00B2260E">
      <w:pPr>
        <w:pStyle w:val="FootnoteText"/>
      </w:pPr>
      <w:r>
        <w:rPr>
          <w:rStyle w:val="FootnoteReference"/>
        </w:rPr>
        <w:footnoteRef/>
      </w:r>
      <w:r>
        <w:tab/>
        <w:t xml:space="preserve">Council for the Judiciary (2025), </w:t>
      </w:r>
      <w:r w:rsidRPr="00906EE0">
        <w:t>pp. 464, 491, 507 and 522;</w:t>
      </w:r>
      <w:r>
        <w:t xml:space="preserve"> </w:t>
      </w:r>
      <w:r w:rsidRPr="00715E26">
        <w:t>CCOO (2026), pp. 3, 7-9</w:t>
      </w:r>
      <w:r>
        <w:t>; country visit Spain, CCOO, UGT, CEOE and CEPYME; Ombu</w:t>
      </w:r>
      <w:r w:rsidRPr="00715E26">
        <w:t>dsperson</w:t>
      </w:r>
      <w:r>
        <w:t xml:space="preserve"> (2025)</w:t>
      </w:r>
      <w:r w:rsidRPr="00715E26">
        <w:t xml:space="preserve">, p. 135 and </w:t>
      </w:r>
      <w:r>
        <w:t>Ombu</w:t>
      </w:r>
      <w:r w:rsidRPr="00715E26">
        <w:t>dsperson</w:t>
      </w:r>
      <w:r>
        <w:t xml:space="preserve"> (2026a)</w:t>
      </w:r>
      <w:r w:rsidRPr="00715E26">
        <w:t>, p. 140.</w:t>
      </w:r>
    </w:p>
  </w:footnote>
  <w:footnote w:id="65">
    <w:p w14:paraId="5578D919" w14:textId="77777777" w:rsidR="00933ED2" w:rsidRPr="004170B6" w:rsidRDefault="00933ED2" w:rsidP="00B2260E">
      <w:pPr>
        <w:pStyle w:val="FootnoteText"/>
      </w:pPr>
      <w:r>
        <w:rPr>
          <w:rStyle w:val="FootnoteReference"/>
        </w:rPr>
        <w:footnoteRef/>
      </w:r>
      <w:r>
        <w:tab/>
        <w:t>Country visit Spain, employers’ associations CEOE and CEPYME.</w:t>
      </w:r>
    </w:p>
  </w:footnote>
  <w:footnote w:id="66">
    <w:p w14:paraId="182D6BE7" w14:textId="77777777" w:rsidR="00933ED2" w:rsidRPr="000B55A9" w:rsidRDefault="00933ED2" w:rsidP="00B2260E">
      <w:pPr>
        <w:pStyle w:val="FootnoteText"/>
        <w:rPr>
          <w:lang w:val="en-IE"/>
        </w:rPr>
      </w:pPr>
      <w:r>
        <w:rPr>
          <w:rStyle w:val="FootnoteReference"/>
        </w:rPr>
        <w:footnoteRef/>
      </w:r>
      <w:r>
        <w:tab/>
        <w:t>Country visit Spain, trade unions CCOO and UGT.</w:t>
      </w:r>
    </w:p>
  </w:footnote>
  <w:footnote w:id="67">
    <w:p w14:paraId="21912BE6" w14:textId="77777777" w:rsidR="00933ED2" w:rsidRPr="0024785C" w:rsidRDefault="00933ED2" w:rsidP="00B2260E">
      <w:pPr>
        <w:pStyle w:val="FootnoteText"/>
        <w:rPr>
          <w:lang w:val="en-IE"/>
        </w:rPr>
      </w:pPr>
      <w:r w:rsidRPr="0024785C">
        <w:rPr>
          <w:rStyle w:val="FootnoteReference"/>
          <w:lang w:val="en-IE"/>
        </w:rPr>
        <w:footnoteRef/>
      </w:r>
      <w:r>
        <w:rPr>
          <w:lang w:val="en-IE"/>
        </w:rPr>
        <w:tab/>
      </w:r>
      <w:r w:rsidRPr="0024785C">
        <w:rPr>
          <w:lang w:val="en-IE"/>
        </w:rPr>
        <w:t>The level of perceived corruption is categorised as follows: low (above 79); relatively low (between 79-60), relatively high (between 59-50), high (below 50).</w:t>
      </w:r>
    </w:p>
  </w:footnote>
  <w:footnote w:id="68">
    <w:p w14:paraId="594DEC1F" w14:textId="656ED70C" w:rsidR="00933ED2" w:rsidRPr="0024785C" w:rsidRDefault="00933ED2" w:rsidP="00B2260E">
      <w:pPr>
        <w:pStyle w:val="FootnoteText"/>
        <w:rPr>
          <w:lang w:val="en-IE"/>
        </w:rPr>
      </w:pPr>
      <w:r w:rsidRPr="0024785C">
        <w:rPr>
          <w:rStyle w:val="FootnoteReference"/>
          <w:lang w:val="en-IE"/>
        </w:rPr>
        <w:footnoteRef/>
      </w:r>
      <w:r>
        <w:rPr>
          <w:lang w:val="en-IE"/>
        </w:rPr>
        <w:tab/>
      </w:r>
      <w:r w:rsidR="3AE059E3" w:rsidRPr="0024785C">
        <w:rPr>
          <w:lang w:val="en-IE"/>
        </w:rPr>
        <w:t>In 202</w:t>
      </w:r>
      <w:r w:rsidR="3AE059E3">
        <w:rPr>
          <w:lang w:val="en-IE"/>
        </w:rPr>
        <w:t>1</w:t>
      </w:r>
      <w:r w:rsidR="3AE059E3" w:rsidRPr="0024785C">
        <w:rPr>
          <w:lang w:val="en-IE"/>
        </w:rPr>
        <w:t xml:space="preserve"> the score was </w:t>
      </w:r>
      <w:r w:rsidR="3AE059E3">
        <w:rPr>
          <w:lang w:val="en-IE"/>
        </w:rPr>
        <w:t>61</w:t>
      </w:r>
      <w:r w:rsidR="3AE059E3" w:rsidRPr="0024785C">
        <w:rPr>
          <w:lang w:val="en-IE"/>
        </w:rPr>
        <w:t>, while, in 202</w:t>
      </w:r>
      <w:r w:rsidR="3AE059E3">
        <w:rPr>
          <w:lang w:val="en-IE"/>
        </w:rPr>
        <w:t>5</w:t>
      </w:r>
      <w:r w:rsidR="3AE059E3" w:rsidRPr="0024785C">
        <w:rPr>
          <w:lang w:val="en-IE"/>
        </w:rPr>
        <w:t xml:space="preserve">, the score </w:t>
      </w:r>
      <w:r w:rsidR="00B20BA7">
        <w:rPr>
          <w:lang w:val="en-IE"/>
        </w:rPr>
        <w:t>i</w:t>
      </w:r>
      <w:r w:rsidR="3AE059E3" w:rsidRPr="0024785C">
        <w:rPr>
          <w:lang w:val="en-IE"/>
        </w:rPr>
        <w:t>s 5</w:t>
      </w:r>
      <w:r w:rsidR="3AE059E3">
        <w:rPr>
          <w:lang w:val="en-IE"/>
        </w:rPr>
        <w:t>5</w:t>
      </w:r>
      <w:r w:rsidR="3AE059E3" w:rsidRPr="0024785C">
        <w:rPr>
          <w:lang w:val="en-IE"/>
        </w:rPr>
        <w:t xml:space="preserve">. The </w:t>
      </w:r>
      <w:r w:rsidR="3AE059E3">
        <w:rPr>
          <w:lang w:val="en-IE"/>
        </w:rPr>
        <w:t xml:space="preserve">perception </w:t>
      </w:r>
      <w:r w:rsidR="3AE059E3" w:rsidRPr="0024785C">
        <w:rPr>
          <w:lang w:val="en-IE"/>
        </w:rPr>
        <w:t>significantly increase</w:t>
      </w:r>
      <w:r w:rsidR="00B20BA7">
        <w:rPr>
          <w:lang w:val="en-IE"/>
        </w:rPr>
        <w:t>s</w:t>
      </w:r>
      <w:r w:rsidR="3AE059E3" w:rsidRPr="0024785C">
        <w:rPr>
          <w:lang w:val="en-IE"/>
        </w:rPr>
        <w:t>/decrease</w:t>
      </w:r>
      <w:r w:rsidR="00B20BA7">
        <w:rPr>
          <w:lang w:val="en-IE"/>
        </w:rPr>
        <w:t>s</w:t>
      </w:r>
      <w:r w:rsidR="3AE059E3" w:rsidRPr="0024785C">
        <w:rPr>
          <w:lang w:val="en-IE"/>
        </w:rPr>
        <w:t xml:space="preserve"> when it changes more than five points; improve</w:t>
      </w:r>
      <w:r w:rsidR="3AE059E3">
        <w:rPr>
          <w:lang w:val="en-IE"/>
        </w:rPr>
        <w:t>d</w:t>
      </w:r>
      <w:r w:rsidR="3AE059E3" w:rsidRPr="0024785C">
        <w:rPr>
          <w:lang w:val="en-IE"/>
        </w:rPr>
        <w:t>/deteriorate</w:t>
      </w:r>
      <w:r w:rsidR="3AE059E3">
        <w:rPr>
          <w:lang w:val="en-IE"/>
        </w:rPr>
        <w:t>d</w:t>
      </w:r>
      <w:r w:rsidR="3AE059E3" w:rsidRPr="0024785C">
        <w:rPr>
          <w:lang w:val="en-IE"/>
        </w:rPr>
        <w:t xml:space="preserve"> (changes between 4-5 points); </w:t>
      </w:r>
      <w:r w:rsidR="3AE059E3">
        <w:rPr>
          <w:lang w:val="en-IE"/>
        </w:rPr>
        <w:t>has been</w:t>
      </w:r>
      <w:r w:rsidR="3AE059E3" w:rsidRPr="0024785C">
        <w:rPr>
          <w:lang w:val="en-IE"/>
        </w:rPr>
        <w:t xml:space="preserve"> relatively stable (changes from 1-3 points) in the last five years.</w:t>
      </w:r>
    </w:p>
  </w:footnote>
  <w:footnote w:id="69">
    <w:p w14:paraId="1D684BBD" w14:textId="77777777" w:rsidR="00933ED2" w:rsidRPr="0024785C" w:rsidRDefault="00933ED2" w:rsidP="00B2260E">
      <w:pPr>
        <w:pStyle w:val="FootnoteText"/>
        <w:rPr>
          <w:lang w:val="en-IE"/>
        </w:rPr>
      </w:pPr>
      <w:r w:rsidRPr="0024785C">
        <w:rPr>
          <w:rStyle w:val="FootnoteReference"/>
          <w:lang w:val="en-IE"/>
        </w:rPr>
        <w:footnoteRef/>
      </w:r>
      <w:r>
        <w:rPr>
          <w:lang w:val="en-IE"/>
        </w:rPr>
        <w:tab/>
      </w:r>
      <w:r w:rsidRPr="00A1057D">
        <w:rPr>
          <w:lang w:val="en-IE"/>
        </w:rPr>
        <w:t>Data from Special Eurobarometer 573 (2026) and Flash Eurobarometer 582 (2026).</w:t>
      </w:r>
      <w:r w:rsidRPr="0024785C">
        <w:rPr>
          <w:lang w:val="en-IE"/>
        </w:rPr>
        <w:t xml:space="preserve"> </w:t>
      </w:r>
    </w:p>
  </w:footnote>
  <w:footnote w:id="70">
    <w:p w14:paraId="452E4968" w14:textId="77777777" w:rsidR="00933ED2" w:rsidRPr="00855882" w:rsidRDefault="00933ED2" w:rsidP="00B2260E">
      <w:pPr>
        <w:pStyle w:val="FootnoteText"/>
      </w:pPr>
      <w:r>
        <w:rPr>
          <w:rStyle w:val="FootnoteReference"/>
        </w:rPr>
        <w:footnoteRef/>
      </w:r>
      <w:r>
        <w:t xml:space="preserve"> </w:t>
      </w:r>
      <w:r>
        <w:tab/>
        <w:t xml:space="preserve">Law 2/2023 included a requirement that the Government adopts a national Anti-Corruption Strategy by September 2024. 2025 </w:t>
      </w:r>
      <w:r w:rsidRPr="000E7171">
        <w:rPr>
          <w:lang w:val="en-IE"/>
        </w:rPr>
        <w:t>Rul</w:t>
      </w:r>
      <w:r>
        <w:rPr>
          <w:lang w:val="en-IE"/>
        </w:rPr>
        <w:t>e of Law Report, Spain, p. 8.</w:t>
      </w:r>
    </w:p>
  </w:footnote>
  <w:footnote w:id="71">
    <w:p w14:paraId="1BC2FA05" w14:textId="77777777" w:rsidR="00933ED2" w:rsidRPr="0024785C" w:rsidRDefault="00933ED2" w:rsidP="00B2260E">
      <w:pPr>
        <w:pStyle w:val="FootnoteText"/>
        <w:rPr>
          <w:lang w:val="en-IE"/>
        </w:rPr>
      </w:pPr>
      <w:r w:rsidRPr="0024785C">
        <w:rPr>
          <w:rStyle w:val="FootnoteReference"/>
          <w:lang w:val="en-IE"/>
        </w:rPr>
        <w:footnoteRef/>
      </w:r>
      <w:r>
        <w:rPr>
          <w:lang w:val="en-IE"/>
        </w:rPr>
        <w:tab/>
      </w:r>
      <w:r w:rsidRPr="0024785C">
        <w:rPr>
          <w:lang w:val="en-IE"/>
        </w:rPr>
        <w:t>Spanish Government (2026), written input, p.</w:t>
      </w:r>
      <w:r>
        <w:rPr>
          <w:lang w:val="en-IE"/>
        </w:rPr>
        <w:t xml:space="preserve"> </w:t>
      </w:r>
      <w:r w:rsidRPr="0024785C">
        <w:rPr>
          <w:lang w:val="en-IE"/>
        </w:rPr>
        <w:t>14.</w:t>
      </w:r>
    </w:p>
  </w:footnote>
  <w:footnote w:id="72">
    <w:p w14:paraId="21FE4020" w14:textId="77777777" w:rsidR="00933ED2" w:rsidRPr="0024785C" w:rsidRDefault="00933ED2" w:rsidP="00B2260E">
      <w:pPr>
        <w:pStyle w:val="FootnoteText"/>
        <w:rPr>
          <w:lang w:val="en-IE"/>
        </w:rPr>
      </w:pPr>
      <w:r w:rsidRPr="0024785C">
        <w:rPr>
          <w:rStyle w:val="FootnoteReference"/>
          <w:lang w:val="en-IE"/>
        </w:rPr>
        <w:footnoteRef/>
      </w:r>
      <w:r>
        <w:rPr>
          <w:lang w:val="en-IE"/>
        </w:rPr>
        <w:tab/>
      </w:r>
      <w:r w:rsidRPr="0024785C">
        <w:rPr>
          <w:lang w:val="en-IE"/>
        </w:rPr>
        <w:t>National Anti-Fraud Coordination Service (2026) written input, p. 2.</w:t>
      </w:r>
    </w:p>
  </w:footnote>
  <w:footnote w:id="73">
    <w:p w14:paraId="31EEC8D8" w14:textId="77777777" w:rsidR="00933ED2" w:rsidRPr="00082112" w:rsidRDefault="00933ED2" w:rsidP="00B2260E">
      <w:pPr>
        <w:pStyle w:val="FootnoteText"/>
      </w:pPr>
      <w:r>
        <w:rPr>
          <w:rStyle w:val="FootnoteReference"/>
        </w:rPr>
        <w:footnoteRef/>
      </w:r>
      <w:r>
        <w:tab/>
      </w:r>
      <w:r w:rsidRPr="00082112">
        <w:t>The preliminary draft Open Administration Law was approved by the Council of Ministers in October 2025</w:t>
      </w:r>
      <w:r>
        <w:t>.</w:t>
      </w:r>
      <w:r w:rsidRPr="00082112">
        <w:t xml:space="preserve"> </w:t>
      </w:r>
      <w:r>
        <w:t>Spanish Government (2026), written input, p. 18.</w:t>
      </w:r>
    </w:p>
  </w:footnote>
  <w:footnote w:id="74">
    <w:p w14:paraId="309BC94E" w14:textId="77777777" w:rsidR="00933ED2" w:rsidRPr="0024785C" w:rsidRDefault="00933ED2" w:rsidP="00B2260E">
      <w:pPr>
        <w:pStyle w:val="FootnoteText"/>
        <w:rPr>
          <w:lang w:val="en-IE"/>
        </w:rPr>
      </w:pPr>
      <w:r w:rsidRPr="0024785C">
        <w:rPr>
          <w:rStyle w:val="FootnoteReference"/>
          <w:lang w:val="en-IE"/>
        </w:rPr>
        <w:footnoteRef/>
      </w:r>
      <w:r w:rsidRPr="0024785C">
        <w:rPr>
          <w:lang w:val="en-IE"/>
        </w:rPr>
        <w:t xml:space="preserve"> </w:t>
      </w:r>
      <w:r>
        <w:rPr>
          <w:lang w:val="en-IE"/>
        </w:rPr>
        <w:tab/>
      </w:r>
      <w:r w:rsidRPr="0024785C">
        <w:rPr>
          <w:lang w:val="en-IE"/>
        </w:rPr>
        <w:t>National Anti-Fraud Coordination Service (2026)</w:t>
      </w:r>
      <w:r>
        <w:rPr>
          <w:lang w:val="en-IE"/>
        </w:rPr>
        <w:t>,</w:t>
      </w:r>
      <w:r w:rsidRPr="0024785C">
        <w:rPr>
          <w:lang w:val="en-IE"/>
        </w:rPr>
        <w:t xml:space="preserve"> written input, p. 2.</w:t>
      </w:r>
    </w:p>
  </w:footnote>
  <w:footnote w:id="75">
    <w:p w14:paraId="63869012" w14:textId="77777777" w:rsidR="00933ED2" w:rsidRPr="007A34B7" w:rsidRDefault="00933ED2" w:rsidP="00B2260E">
      <w:pPr>
        <w:pStyle w:val="FootnoteText"/>
      </w:pPr>
      <w:r>
        <w:rPr>
          <w:rStyle w:val="FootnoteReference"/>
        </w:rPr>
        <w:footnoteRef/>
      </w:r>
      <w:r>
        <w:tab/>
      </w:r>
      <w:r w:rsidRPr="007A34B7">
        <w:t>Spain’s Fifth Open Government Plan 2025-2029</w:t>
      </w:r>
      <w:r>
        <w:t xml:space="preserve"> was</w:t>
      </w:r>
      <w:r w:rsidRPr="007A34B7">
        <w:t xml:space="preserve"> approved on 6 October 2025</w:t>
      </w:r>
      <w:r>
        <w:t>.</w:t>
      </w:r>
      <w:r w:rsidRPr="007A34B7">
        <w:t xml:space="preserve"> </w:t>
      </w:r>
    </w:p>
  </w:footnote>
  <w:footnote w:id="76">
    <w:p w14:paraId="3C520178" w14:textId="77777777" w:rsidR="00933ED2" w:rsidRPr="00AF3563" w:rsidRDefault="00933ED2" w:rsidP="00B2260E">
      <w:pPr>
        <w:pStyle w:val="FootnoteText"/>
        <w:rPr>
          <w:lang w:val="en-IE"/>
        </w:rPr>
      </w:pPr>
      <w:r>
        <w:rPr>
          <w:rStyle w:val="FootnoteReference"/>
        </w:rPr>
        <w:footnoteRef/>
      </w:r>
      <w:r>
        <w:t xml:space="preserve">  </w:t>
      </w:r>
      <w:r>
        <w:tab/>
        <w:t>T</w:t>
      </w:r>
      <w:r w:rsidRPr="005A3A41">
        <w:t>he Independent Authority for the Protection of Reporting Persons (AIPI)</w:t>
      </w:r>
      <w:r>
        <w:t>.</w:t>
      </w:r>
    </w:p>
  </w:footnote>
  <w:footnote w:id="77">
    <w:p w14:paraId="310F26E5" w14:textId="77777777" w:rsidR="00933ED2" w:rsidRPr="0024785C" w:rsidRDefault="00933ED2" w:rsidP="00B2260E">
      <w:pPr>
        <w:pStyle w:val="FootnoteText"/>
        <w:rPr>
          <w:lang w:val="en-IE"/>
        </w:rPr>
      </w:pPr>
      <w:r w:rsidRPr="0024785C">
        <w:rPr>
          <w:rStyle w:val="FootnoteReference"/>
          <w:lang w:val="en-IE"/>
        </w:rPr>
        <w:footnoteRef/>
      </w:r>
      <w:r>
        <w:rPr>
          <w:lang w:val="en-IE"/>
        </w:rPr>
        <w:tab/>
        <w:t xml:space="preserve">The </w:t>
      </w:r>
      <w:r w:rsidRPr="0093465A">
        <w:rPr>
          <w:lang w:val="en-IE"/>
        </w:rPr>
        <w:t>Authority has a mandate to manage a confidential external reporting channel, process complaints and protection requests, and contribute to enforcement and policy development in whistleblower protection and anti-corruption. Its capacity is currently limited but operational, with a small and not yet fully staffed team (12 of 19 posts), a</w:t>
      </w:r>
      <w:r>
        <w:rPr>
          <w:lang w:val="en-IE"/>
        </w:rPr>
        <w:t xml:space="preserve">nd </w:t>
      </w:r>
      <w:r w:rsidRPr="0093465A">
        <w:rPr>
          <w:lang w:val="en-IE"/>
        </w:rPr>
        <w:t>a temporary budget</w:t>
      </w:r>
      <w:r>
        <w:rPr>
          <w:lang w:val="en-IE"/>
        </w:rPr>
        <w:t xml:space="preserve"> </w:t>
      </w:r>
      <w:r w:rsidRPr="0093465A">
        <w:rPr>
          <w:lang w:val="en-IE"/>
        </w:rPr>
        <w:t>covering basic needs.</w:t>
      </w:r>
      <w:r>
        <w:rPr>
          <w:lang w:val="en-IE"/>
        </w:rPr>
        <w:t xml:space="preserve"> </w:t>
      </w:r>
      <w:r w:rsidRPr="0024785C">
        <w:rPr>
          <w:lang w:val="en-IE"/>
        </w:rPr>
        <w:t>Spanish Government (2026), written input, p.</w:t>
      </w:r>
      <w:r>
        <w:rPr>
          <w:lang w:val="en-IE"/>
        </w:rPr>
        <w:t xml:space="preserve"> 22</w:t>
      </w:r>
      <w:r w:rsidRPr="0024785C">
        <w:rPr>
          <w:lang w:val="en-IE"/>
        </w:rPr>
        <w:t>; country visit Spain, Government</w:t>
      </w:r>
      <w:r>
        <w:rPr>
          <w:lang w:val="en-IE"/>
        </w:rPr>
        <w:t>.</w:t>
      </w:r>
    </w:p>
  </w:footnote>
  <w:footnote w:id="78">
    <w:p w14:paraId="2D53F1EA" w14:textId="77777777" w:rsidR="00933ED2" w:rsidRPr="0023515B" w:rsidRDefault="00933ED2" w:rsidP="00B2260E">
      <w:pPr>
        <w:pStyle w:val="FootnoteText"/>
        <w:rPr>
          <w:lang w:val="en-IE"/>
        </w:rPr>
      </w:pPr>
      <w:r>
        <w:rPr>
          <w:rStyle w:val="FootnoteReference"/>
        </w:rPr>
        <w:footnoteRef/>
      </w:r>
      <w:r>
        <w:t xml:space="preserve"> </w:t>
      </w:r>
      <w:r>
        <w:tab/>
      </w:r>
      <w:r w:rsidRPr="00B77467">
        <w:t xml:space="preserve">The 2025 Rule of Law Report recommended Spain </w:t>
      </w:r>
      <w:r>
        <w:t>to: “</w:t>
      </w:r>
      <w:r w:rsidRPr="00B77467">
        <w:t>strengthen efforts to address the challenges related to the length of investigations and prosecutions in handling high-level corruption cases, including by finali</w:t>
      </w:r>
      <w:r>
        <w:t>s</w:t>
      </w:r>
      <w:r w:rsidRPr="00B77467">
        <w:t>ing the reform of the Code of Criminal Procedure</w:t>
      </w:r>
      <w:r>
        <w:t xml:space="preserve">.” 2025 </w:t>
      </w:r>
      <w:r w:rsidRPr="000E7171">
        <w:rPr>
          <w:lang w:val="en-IE"/>
        </w:rPr>
        <w:t>Rul</w:t>
      </w:r>
      <w:r>
        <w:rPr>
          <w:lang w:val="en-IE"/>
        </w:rPr>
        <w:t>e of Law Report, Spain, p. 2. On this recommendation, no progress was assessed in 2023, some progress in 2024, and some further progress in 2025.</w:t>
      </w:r>
    </w:p>
  </w:footnote>
  <w:footnote w:id="79">
    <w:p w14:paraId="087465DE" w14:textId="77777777" w:rsidR="00933ED2" w:rsidRPr="0062478F" w:rsidRDefault="00933ED2" w:rsidP="00B2260E">
      <w:pPr>
        <w:pStyle w:val="FootnoteText"/>
        <w:rPr>
          <w:lang w:val="en-IE"/>
        </w:rPr>
      </w:pPr>
      <w:r>
        <w:rPr>
          <w:rStyle w:val="FootnoteReference"/>
        </w:rPr>
        <w:footnoteRef/>
      </w:r>
      <w:r>
        <w:t xml:space="preserve"> </w:t>
      </w:r>
      <w:r>
        <w:tab/>
      </w:r>
      <w:r>
        <w:rPr>
          <w:lang w:val="en-IE"/>
        </w:rPr>
        <w:t>See Justice System above.</w:t>
      </w:r>
    </w:p>
  </w:footnote>
  <w:footnote w:id="80">
    <w:p w14:paraId="7474B08A" w14:textId="77777777" w:rsidR="00933ED2" w:rsidRPr="00E56A09" w:rsidRDefault="00933ED2" w:rsidP="00B2260E">
      <w:pPr>
        <w:pStyle w:val="FootnoteText"/>
        <w:rPr>
          <w:lang w:val="en-IE"/>
        </w:rPr>
      </w:pPr>
      <w:r>
        <w:rPr>
          <w:rStyle w:val="FootnoteReference"/>
        </w:rPr>
        <w:footnoteRef/>
      </w:r>
      <w:r>
        <w:t xml:space="preserve"> </w:t>
      </w:r>
      <w:r w:rsidRPr="00E56A09">
        <w:rPr>
          <w:lang w:val="en-IE"/>
        </w:rPr>
        <w:tab/>
        <w:t xml:space="preserve">This contrasts </w:t>
      </w:r>
      <w:r>
        <w:rPr>
          <w:lang w:val="en-IE"/>
        </w:rPr>
        <w:t>with</w:t>
      </w:r>
      <w:r w:rsidRPr="00E56A09">
        <w:rPr>
          <w:lang w:val="en-IE"/>
        </w:rPr>
        <w:t xml:space="preserve"> the cur</w:t>
      </w:r>
      <w:r>
        <w:rPr>
          <w:lang w:val="en-IE"/>
        </w:rPr>
        <w:t xml:space="preserve">rent model, in which each decision of the investigating judge is individually appealable. </w:t>
      </w:r>
      <w:r w:rsidRPr="0024785C">
        <w:rPr>
          <w:lang w:val="en-IE"/>
        </w:rPr>
        <w:t>Spanish Government (2026), written input, p. 5.</w:t>
      </w:r>
    </w:p>
  </w:footnote>
  <w:footnote w:id="81">
    <w:p w14:paraId="3BA5957F" w14:textId="77777777" w:rsidR="00933ED2" w:rsidRPr="00452ED7" w:rsidRDefault="00933ED2" w:rsidP="00B2260E">
      <w:pPr>
        <w:pStyle w:val="FootnoteText"/>
      </w:pPr>
      <w:r w:rsidRPr="0024785C">
        <w:rPr>
          <w:rStyle w:val="FootnoteReference"/>
          <w:lang w:val="en-IE"/>
        </w:rPr>
        <w:footnoteRef/>
      </w:r>
      <w:r>
        <w:tab/>
      </w:r>
      <w:r w:rsidRPr="0024785C">
        <w:rPr>
          <w:lang w:val="en-IE"/>
        </w:rPr>
        <w:t>Spanish Government (2026), written input, p. 5.</w:t>
      </w:r>
    </w:p>
  </w:footnote>
  <w:footnote w:id="82">
    <w:p w14:paraId="5A64EA40" w14:textId="77777777" w:rsidR="00933ED2" w:rsidRPr="00240A2B" w:rsidRDefault="00933ED2" w:rsidP="00B2260E">
      <w:pPr>
        <w:pStyle w:val="FootnoteText"/>
      </w:pPr>
      <w:r>
        <w:rPr>
          <w:rStyle w:val="FootnoteReference"/>
        </w:rPr>
        <w:footnoteRef/>
      </w:r>
      <w:r>
        <w:t xml:space="preserve"> </w:t>
      </w:r>
      <w:r>
        <w:tab/>
      </w:r>
      <w:r w:rsidRPr="0024785C">
        <w:rPr>
          <w:lang w:val="en-IE"/>
        </w:rPr>
        <w:t xml:space="preserve">Spanish Government (2026), written input, p. </w:t>
      </w:r>
      <w:r>
        <w:rPr>
          <w:lang w:val="en-IE"/>
        </w:rPr>
        <w:t>13</w:t>
      </w:r>
      <w:r w:rsidRPr="0024785C">
        <w:rPr>
          <w:lang w:val="en-IE"/>
        </w:rPr>
        <w:t>.</w:t>
      </w:r>
    </w:p>
  </w:footnote>
  <w:footnote w:id="83">
    <w:p w14:paraId="6C7B6D2B" w14:textId="0CD9211A" w:rsidR="00933ED2" w:rsidRPr="00E56A09" w:rsidRDefault="00933ED2" w:rsidP="00B2260E">
      <w:pPr>
        <w:pStyle w:val="FootnoteText"/>
        <w:rPr>
          <w:lang w:val="en-IE"/>
        </w:rPr>
      </w:pPr>
      <w:r>
        <w:rPr>
          <w:rStyle w:val="FootnoteReference"/>
        </w:rPr>
        <w:footnoteRef/>
      </w:r>
      <w:r>
        <w:t xml:space="preserve"> </w:t>
      </w:r>
      <w:r w:rsidRPr="00E56A09">
        <w:rPr>
          <w:lang w:val="en-IE"/>
        </w:rPr>
        <w:tab/>
      </w:r>
      <w:r w:rsidRPr="008F6726">
        <w:t>In the first ten months of 2025, 144 corruption-related offences were reported to the law-enforcement agencies, compared to 213 in the whole of 2024</w:t>
      </w:r>
      <w:r>
        <w:t>, indicating a slight decrease. Spanish Government (2026b), p. 9.</w:t>
      </w:r>
    </w:p>
  </w:footnote>
  <w:footnote w:id="84">
    <w:p w14:paraId="5617F53E" w14:textId="77777777" w:rsidR="00933ED2" w:rsidRPr="0094060E" w:rsidRDefault="00933ED2" w:rsidP="00B2260E">
      <w:pPr>
        <w:pStyle w:val="FootnoteText"/>
        <w:rPr>
          <w:lang w:val="en-IE"/>
        </w:rPr>
      </w:pPr>
      <w:r>
        <w:rPr>
          <w:rStyle w:val="FootnoteReference"/>
        </w:rPr>
        <w:footnoteRef/>
      </w:r>
      <w:r>
        <w:tab/>
        <w:t xml:space="preserve">Compared to 25 cases in 2024. </w:t>
      </w:r>
      <w:r>
        <w:rPr>
          <w:lang w:val="en-IE"/>
        </w:rPr>
        <w:t>D</w:t>
      </w:r>
      <w:r w:rsidRPr="0024785C">
        <w:rPr>
          <w:lang w:val="en-IE"/>
        </w:rPr>
        <w:t>atabase of the Council for the Judiciary</w:t>
      </w:r>
      <w:r>
        <w:rPr>
          <w:lang w:val="en-IE"/>
        </w:rPr>
        <w:t>.</w:t>
      </w:r>
      <w:r w:rsidDel="00B274E1">
        <w:t xml:space="preserve"> </w:t>
      </w:r>
    </w:p>
  </w:footnote>
  <w:footnote w:id="85">
    <w:p w14:paraId="702837A4" w14:textId="77777777" w:rsidR="00933ED2" w:rsidRPr="0024785C" w:rsidRDefault="00933ED2" w:rsidP="00B2260E">
      <w:pPr>
        <w:pStyle w:val="FootnoteText"/>
        <w:rPr>
          <w:lang w:val="en-IE"/>
        </w:rPr>
      </w:pPr>
      <w:r w:rsidRPr="0024785C">
        <w:rPr>
          <w:rStyle w:val="FootnoteReference"/>
          <w:lang w:val="en-IE"/>
        </w:rPr>
        <w:footnoteRef/>
      </w:r>
      <w:r>
        <w:rPr>
          <w:lang w:val="en-IE"/>
        </w:rPr>
        <w:tab/>
      </w:r>
      <w:r>
        <w:rPr>
          <w:rFonts w:eastAsia="Calibri"/>
          <w:lang w:val="en-IE"/>
        </w:rPr>
        <w:t>In</w:t>
      </w:r>
      <w:r w:rsidRPr="008B097B">
        <w:rPr>
          <w:rFonts w:eastAsia="Calibri"/>
        </w:rPr>
        <w:t xml:space="preserve"> 2024, </w:t>
      </w:r>
      <w:r>
        <w:rPr>
          <w:rFonts w:eastAsia="Calibri"/>
        </w:rPr>
        <w:t>out of the total of 58 cases 30</w:t>
      </w:r>
      <w:r w:rsidRPr="008B097B">
        <w:rPr>
          <w:rFonts w:eastAsia="Calibri"/>
        </w:rPr>
        <w:t xml:space="preserve"> cases were convictions or partial convictions</w:t>
      </w:r>
      <w:r>
        <w:rPr>
          <w:rFonts w:eastAsia="Calibri"/>
        </w:rPr>
        <w:t xml:space="preserve"> and</w:t>
      </w:r>
      <w:r w:rsidRPr="008B097B">
        <w:rPr>
          <w:rFonts w:eastAsia="Calibri"/>
        </w:rPr>
        <w:t xml:space="preserve"> </w:t>
      </w:r>
      <w:r>
        <w:rPr>
          <w:rFonts w:eastAsia="Calibri"/>
        </w:rPr>
        <w:t>21</w:t>
      </w:r>
      <w:r w:rsidRPr="008B097B">
        <w:rPr>
          <w:rFonts w:eastAsia="Calibri"/>
        </w:rPr>
        <w:t xml:space="preserve"> acquittals</w:t>
      </w:r>
      <w:r>
        <w:rPr>
          <w:rFonts w:eastAsia="Calibri"/>
        </w:rPr>
        <w:t>.</w:t>
      </w:r>
      <w:r w:rsidRPr="00302718" w:rsidDel="00324041">
        <w:rPr>
          <w:lang w:val="en-IE"/>
        </w:rPr>
        <w:t xml:space="preserve"> </w:t>
      </w:r>
      <w:r>
        <w:rPr>
          <w:lang w:val="en-IE"/>
        </w:rPr>
        <w:t>D</w:t>
      </w:r>
      <w:r w:rsidRPr="0024785C">
        <w:rPr>
          <w:lang w:val="en-IE"/>
        </w:rPr>
        <w:t>atabase of the Council for the Judiciary</w:t>
      </w:r>
      <w:r>
        <w:rPr>
          <w:lang w:val="en-IE"/>
        </w:rPr>
        <w:t>.</w:t>
      </w:r>
    </w:p>
  </w:footnote>
  <w:footnote w:id="86">
    <w:p w14:paraId="51EB92E7" w14:textId="77777777" w:rsidR="00933ED2" w:rsidRPr="00E56A09" w:rsidRDefault="00933ED2" w:rsidP="00B2260E">
      <w:pPr>
        <w:pStyle w:val="FootnoteText"/>
        <w:rPr>
          <w:lang w:val="en-IE"/>
        </w:rPr>
      </w:pPr>
      <w:r>
        <w:rPr>
          <w:rStyle w:val="FootnoteReference"/>
        </w:rPr>
        <w:footnoteRef/>
      </w:r>
      <w:r>
        <w:t xml:space="preserve"> </w:t>
      </w:r>
      <w:r w:rsidRPr="00E56A09">
        <w:rPr>
          <w:lang w:val="en-IE"/>
        </w:rPr>
        <w:tab/>
        <w:t>Latest data available.</w:t>
      </w:r>
    </w:p>
  </w:footnote>
  <w:footnote w:id="87">
    <w:p w14:paraId="556F795D" w14:textId="4B7E1EE8" w:rsidR="00933ED2" w:rsidRPr="005959C4" w:rsidRDefault="00933ED2" w:rsidP="00B2260E">
      <w:pPr>
        <w:pStyle w:val="FootnoteText"/>
      </w:pPr>
      <w:r>
        <w:rPr>
          <w:rStyle w:val="FootnoteReference"/>
        </w:rPr>
        <w:footnoteRef/>
      </w:r>
      <w:r>
        <w:tab/>
      </w:r>
      <w:r w:rsidRPr="008D16A2">
        <w:t xml:space="preserve">Throughout 2024, 29 </w:t>
      </w:r>
      <w:r>
        <w:t>p</w:t>
      </w:r>
      <w:r w:rsidRPr="008D16A2">
        <w:t>re-</w:t>
      </w:r>
      <w:r>
        <w:t>t</w:t>
      </w:r>
      <w:r w:rsidRPr="008D16A2">
        <w:t xml:space="preserve">rial </w:t>
      </w:r>
      <w:r>
        <w:t>i</w:t>
      </w:r>
      <w:r w:rsidRPr="008D16A2">
        <w:t xml:space="preserve">nvestigative </w:t>
      </w:r>
      <w:r>
        <w:t>p</w:t>
      </w:r>
      <w:r w:rsidRPr="008D16A2">
        <w:t>roceedings were concluded, including 14 from 2024, 10 from 2023, 2 from 2022, and 3 from 2021.</w:t>
      </w:r>
      <w:r>
        <w:t xml:space="preserve"> At the end of 2024, </w:t>
      </w:r>
      <w:r w:rsidRPr="00D44CB4">
        <w:t>25 pre-trial investigative proceedings remained pending: 1 from 2020, 1 from 2021, 2 from 2022, 7 from 2023, and 14 initiated in 2024.</w:t>
      </w:r>
      <w:r w:rsidRPr="008D16A2">
        <w:t xml:space="preserve"> </w:t>
      </w:r>
      <w:r>
        <w:t xml:space="preserve">Country visit Spain, </w:t>
      </w:r>
      <w:r w:rsidRPr="00C97AC9">
        <w:t>Technical Cabinet of the Prosecutor General’s Office (2026</w:t>
      </w:r>
      <w:r w:rsidR="00F22C50">
        <w:t>b</w:t>
      </w:r>
      <w:r w:rsidRPr="00C97AC9">
        <w:t>)</w:t>
      </w:r>
      <w:r>
        <w:t>, additional written input regarding corruption case statistics.</w:t>
      </w:r>
    </w:p>
  </w:footnote>
  <w:footnote w:id="88">
    <w:p w14:paraId="308FCFA2" w14:textId="77777777" w:rsidR="00933ED2" w:rsidRPr="004255A9" w:rsidRDefault="00933ED2" w:rsidP="00B2260E">
      <w:pPr>
        <w:pStyle w:val="FootnoteText"/>
      </w:pPr>
      <w:r>
        <w:rPr>
          <w:rStyle w:val="FootnoteReference"/>
        </w:rPr>
        <w:footnoteRef/>
      </w:r>
      <w:r>
        <w:tab/>
        <w:t xml:space="preserve">Involving, among others, former members of the executive and legislative branches. </w:t>
      </w:r>
      <w:r w:rsidRPr="004255A9">
        <w:t xml:space="preserve">Hay Derecho (2026), </w:t>
      </w:r>
      <w:r>
        <w:t xml:space="preserve">written input, </w:t>
      </w:r>
      <w:r w:rsidRPr="004255A9">
        <w:t>p</w:t>
      </w:r>
      <w:r>
        <w:t>p</w:t>
      </w:r>
      <w:r w:rsidRPr="004255A9">
        <w:t>. 33 and 36.</w:t>
      </w:r>
    </w:p>
  </w:footnote>
  <w:footnote w:id="89">
    <w:p w14:paraId="181D5471" w14:textId="00D62892" w:rsidR="00933ED2" w:rsidRPr="0024785C" w:rsidRDefault="00933ED2" w:rsidP="00B2260E">
      <w:pPr>
        <w:pStyle w:val="FootnoteText"/>
        <w:rPr>
          <w:lang w:val="en-IE"/>
        </w:rPr>
      </w:pPr>
      <w:r w:rsidRPr="0024785C">
        <w:rPr>
          <w:rStyle w:val="FootnoteReference"/>
          <w:lang w:val="en-IE"/>
        </w:rPr>
        <w:footnoteRef/>
      </w:r>
      <w:r>
        <w:rPr>
          <w:lang w:val="en-IE"/>
        </w:rPr>
        <w:t xml:space="preserve"> </w:t>
      </w:r>
      <w:r>
        <w:rPr>
          <w:lang w:val="en-IE"/>
        </w:rPr>
        <w:tab/>
      </w:r>
      <w:r w:rsidRPr="00C64BD7">
        <w:t>Technical Cabinet of the Prosecutor General’s Office (2026)</w:t>
      </w:r>
      <w:r w:rsidRPr="0024785C">
        <w:rPr>
          <w:lang w:val="en-IE"/>
        </w:rPr>
        <w:t>, written input, p.</w:t>
      </w:r>
      <w:r>
        <w:rPr>
          <w:lang w:val="en-IE"/>
        </w:rPr>
        <w:t xml:space="preserve"> </w:t>
      </w:r>
      <w:r w:rsidRPr="0024785C">
        <w:rPr>
          <w:lang w:val="en-IE"/>
        </w:rPr>
        <w:t xml:space="preserve">24. </w:t>
      </w:r>
    </w:p>
  </w:footnote>
  <w:footnote w:id="90">
    <w:p w14:paraId="383D3DAE" w14:textId="557B4021" w:rsidR="00933ED2" w:rsidRPr="00086B7C" w:rsidRDefault="00933ED2" w:rsidP="00B2260E">
      <w:pPr>
        <w:pStyle w:val="FootnoteText"/>
      </w:pPr>
      <w:r>
        <w:rPr>
          <w:rStyle w:val="FootnoteReference"/>
        </w:rPr>
        <w:footnoteRef/>
      </w:r>
      <w:r>
        <w:t xml:space="preserve"> </w:t>
      </w:r>
      <w:r>
        <w:tab/>
        <w:t xml:space="preserve">An 8% increase of staff is expected in 2026. Country visit Spain, </w:t>
      </w:r>
      <w:r w:rsidR="005033CC" w:rsidRPr="00681111">
        <w:t>Technical Cabinet of the Prosecutor General’s Office</w:t>
      </w:r>
      <w:r>
        <w:t xml:space="preserve">. </w:t>
      </w:r>
      <w:r w:rsidRPr="00681111">
        <w:t>Technical Cabinet of the Prosecutor General’s Office (2026</w:t>
      </w:r>
      <w:r w:rsidR="00C35A1A">
        <w:t>a</w:t>
      </w:r>
      <w:r w:rsidRPr="00681111">
        <w:t>)</w:t>
      </w:r>
      <w:r w:rsidR="00071047">
        <w:t>, p.</w:t>
      </w:r>
      <w:r w:rsidR="00894519">
        <w:t xml:space="preserve"> </w:t>
      </w:r>
      <w:r>
        <w:t xml:space="preserve">7. See </w:t>
      </w:r>
      <w:r w:rsidR="006553D4">
        <w:t>a</w:t>
      </w:r>
      <w:r>
        <w:t>lso 2025 Rule of Law Report, Spain, p. 9.</w:t>
      </w:r>
    </w:p>
  </w:footnote>
  <w:footnote w:id="91">
    <w:p w14:paraId="207412C1" w14:textId="77777777" w:rsidR="00933ED2" w:rsidRPr="0024785C" w:rsidRDefault="00933ED2" w:rsidP="00B2260E">
      <w:pPr>
        <w:pStyle w:val="FootnoteText"/>
        <w:rPr>
          <w:lang w:val="en-IE"/>
        </w:rPr>
      </w:pPr>
      <w:r w:rsidRPr="0024785C">
        <w:rPr>
          <w:rStyle w:val="FootnoteReference"/>
          <w:lang w:val="en-IE"/>
        </w:rPr>
        <w:footnoteRef/>
      </w:r>
      <w:r>
        <w:rPr>
          <w:lang w:val="en-IE"/>
        </w:rPr>
        <w:t xml:space="preserve"> </w:t>
      </w:r>
      <w:r>
        <w:rPr>
          <w:lang w:val="en-IE"/>
        </w:rPr>
        <w:tab/>
      </w:r>
      <w:r w:rsidRPr="008C16CA">
        <w:t>Technical Cabinet of the Prosecutor General’s Office (2026)</w:t>
      </w:r>
      <w:r w:rsidRPr="0024785C">
        <w:rPr>
          <w:lang w:val="en-IE"/>
        </w:rPr>
        <w:t>, written input, p.</w:t>
      </w:r>
      <w:r>
        <w:rPr>
          <w:lang w:val="en-IE"/>
        </w:rPr>
        <w:t xml:space="preserve"> </w:t>
      </w:r>
      <w:r w:rsidRPr="0024785C">
        <w:rPr>
          <w:lang w:val="en-IE"/>
        </w:rPr>
        <w:t xml:space="preserve">27. </w:t>
      </w:r>
    </w:p>
  </w:footnote>
  <w:footnote w:id="92">
    <w:p w14:paraId="20004816" w14:textId="77777777" w:rsidR="00933ED2" w:rsidRPr="00B2164C" w:rsidRDefault="00933ED2" w:rsidP="00B2260E">
      <w:pPr>
        <w:pStyle w:val="FootnoteText"/>
      </w:pPr>
      <w:r>
        <w:rPr>
          <w:rStyle w:val="FootnoteReference"/>
        </w:rPr>
        <w:footnoteRef/>
      </w:r>
      <w:r>
        <w:t xml:space="preserve"> </w:t>
      </w:r>
      <w:r>
        <w:tab/>
      </w:r>
      <w:r w:rsidRPr="008C16CA">
        <w:t>Technical Cabinet of the Prosecutor General’s Office (2026)</w:t>
      </w:r>
      <w:r w:rsidRPr="0024785C">
        <w:rPr>
          <w:lang w:val="en-IE"/>
        </w:rPr>
        <w:t>, written input, p.</w:t>
      </w:r>
      <w:r>
        <w:rPr>
          <w:lang w:val="en-IE"/>
        </w:rPr>
        <w:t xml:space="preserve"> </w:t>
      </w:r>
      <w:r w:rsidRPr="0024785C">
        <w:rPr>
          <w:lang w:val="en-IE"/>
        </w:rPr>
        <w:t>27.</w:t>
      </w:r>
    </w:p>
  </w:footnote>
  <w:footnote w:id="93">
    <w:p w14:paraId="45DA42E4" w14:textId="1395F163" w:rsidR="00933ED2" w:rsidRPr="00B5776D" w:rsidRDefault="00933ED2" w:rsidP="00B2260E">
      <w:pPr>
        <w:pStyle w:val="FootnoteText"/>
      </w:pPr>
      <w:r>
        <w:rPr>
          <w:rStyle w:val="FootnoteReference"/>
        </w:rPr>
        <w:footnoteRef/>
      </w:r>
      <w:r>
        <w:t xml:space="preserve"> </w:t>
      </w:r>
      <w:r>
        <w:tab/>
        <w:t xml:space="preserve">This is envisaged </w:t>
      </w:r>
      <w:r>
        <w:rPr>
          <w:rFonts w:eastAsia="Calibri"/>
          <w:bCs/>
          <w:szCs w:val="24"/>
        </w:rPr>
        <w:t xml:space="preserve">in the framework of </w:t>
      </w:r>
      <w:r w:rsidRPr="00F02BB9">
        <w:rPr>
          <w:bCs/>
        </w:rPr>
        <w:t xml:space="preserve">the </w:t>
      </w:r>
      <w:r w:rsidR="00ED108C">
        <w:rPr>
          <w:bCs/>
        </w:rPr>
        <w:t xml:space="preserve">preliminary </w:t>
      </w:r>
      <w:r>
        <w:rPr>
          <w:bCs/>
        </w:rPr>
        <w:t>d</w:t>
      </w:r>
      <w:r w:rsidRPr="00F02BB9">
        <w:rPr>
          <w:bCs/>
        </w:rPr>
        <w:t>raft Organic Law on Public Integrity</w:t>
      </w:r>
      <w:r>
        <w:rPr>
          <w:rFonts w:eastAsia="Calibri"/>
          <w:bCs/>
          <w:szCs w:val="24"/>
        </w:rPr>
        <w:t>. The OECD also recommended Spain to clarify provisions on corporate liability and to ensure a sufficiently long limitation period for judicial investigations. OECD (2025a), pp. 4 and 8.</w:t>
      </w:r>
    </w:p>
  </w:footnote>
  <w:footnote w:id="94">
    <w:p w14:paraId="614508EE" w14:textId="77777777" w:rsidR="00933ED2" w:rsidRPr="005F3DEB" w:rsidRDefault="00933ED2" w:rsidP="00B2260E">
      <w:pPr>
        <w:pStyle w:val="FootnoteText"/>
        <w:rPr>
          <w:lang w:val="en-IE"/>
        </w:rPr>
      </w:pPr>
      <w:r>
        <w:rPr>
          <w:rStyle w:val="FootnoteReference"/>
        </w:rPr>
        <w:footnoteRef/>
      </w:r>
      <w:r>
        <w:t xml:space="preserve"> </w:t>
      </w:r>
      <w:r w:rsidRPr="005F3DEB">
        <w:rPr>
          <w:lang w:val="en-IE"/>
        </w:rPr>
        <w:tab/>
        <w:t xml:space="preserve">The </w:t>
      </w:r>
      <w:r>
        <w:rPr>
          <w:lang w:val="en-IE"/>
        </w:rPr>
        <w:t>d</w:t>
      </w:r>
      <w:r w:rsidRPr="005F3DEB">
        <w:rPr>
          <w:lang w:val="en-IE"/>
        </w:rPr>
        <w:t xml:space="preserve">raft </w:t>
      </w:r>
      <w:r>
        <w:rPr>
          <w:lang w:val="en-IE"/>
        </w:rPr>
        <w:t xml:space="preserve">law amending the Code of </w:t>
      </w:r>
      <w:r w:rsidRPr="005F3DEB">
        <w:rPr>
          <w:lang w:val="en-IE"/>
        </w:rPr>
        <w:t>Criminal Procedure was approved by the Council of Ministers and is now subject to parliamentary adoption</w:t>
      </w:r>
      <w:r>
        <w:rPr>
          <w:lang w:val="en-IE"/>
        </w:rPr>
        <w:t xml:space="preserve">. </w:t>
      </w:r>
      <w:r w:rsidRPr="007876AF">
        <w:t>The entry into force is scheduled for 1 January 2028.</w:t>
      </w:r>
    </w:p>
  </w:footnote>
  <w:footnote w:id="95">
    <w:p w14:paraId="30748614" w14:textId="77777777" w:rsidR="00933ED2" w:rsidRPr="002B2DA0" w:rsidRDefault="00933ED2" w:rsidP="00B2260E">
      <w:pPr>
        <w:pStyle w:val="FootnoteText"/>
      </w:pPr>
      <w:r>
        <w:rPr>
          <w:rStyle w:val="FootnoteReference"/>
        </w:rPr>
        <w:footnoteRef/>
      </w:r>
      <w:r>
        <w:tab/>
        <w:t xml:space="preserve">Spanish Government (2026b), p. 7. </w:t>
      </w:r>
    </w:p>
  </w:footnote>
  <w:footnote w:id="96">
    <w:p w14:paraId="5D954217" w14:textId="77777777" w:rsidR="004B2445" w:rsidRPr="000F361E" w:rsidRDefault="004B2445" w:rsidP="004B2445">
      <w:pPr>
        <w:pStyle w:val="FootnoteText"/>
      </w:pPr>
      <w:r>
        <w:rPr>
          <w:rStyle w:val="FootnoteReference"/>
        </w:rPr>
        <w:footnoteRef/>
      </w:r>
      <w:r>
        <w:tab/>
        <w:t xml:space="preserve">Spanish Government (2026b), p. 7. </w:t>
      </w:r>
    </w:p>
  </w:footnote>
  <w:footnote w:id="97">
    <w:p w14:paraId="01486B29" w14:textId="77777777" w:rsidR="00933ED2" w:rsidRPr="0024785C" w:rsidRDefault="00933ED2" w:rsidP="00B2260E">
      <w:pPr>
        <w:pStyle w:val="FootnoteText"/>
        <w:rPr>
          <w:lang w:val="en-IE"/>
        </w:rPr>
      </w:pPr>
      <w:r w:rsidRPr="0024785C">
        <w:rPr>
          <w:rStyle w:val="FootnoteReference"/>
          <w:lang w:val="en-IE"/>
        </w:rPr>
        <w:footnoteRef/>
      </w:r>
      <w:r w:rsidRPr="0024785C">
        <w:rPr>
          <w:lang w:val="en-IE"/>
        </w:rPr>
        <w:t xml:space="preserve"> </w:t>
      </w:r>
      <w:r>
        <w:rPr>
          <w:lang w:val="en-IE"/>
        </w:rPr>
        <w:tab/>
      </w:r>
      <w:r w:rsidRPr="0024785C">
        <w:rPr>
          <w:lang w:val="en-IE"/>
        </w:rPr>
        <w:t>OECD (2025</w:t>
      </w:r>
      <w:r>
        <w:rPr>
          <w:lang w:val="en-IE"/>
        </w:rPr>
        <w:t>a</w:t>
      </w:r>
      <w:r w:rsidRPr="0024785C">
        <w:rPr>
          <w:lang w:val="en-IE"/>
        </w:rPr>
        <w:t>)</w:t>
      </w:r>
      <w:r>
        <w:rPr>
          <w:lang w:val="en-IE"/>
        </w:rPr>
        <w:t>, p.16.</w:t>
      </w:r>
      <w:r w:rsidRPr="0024785C">
        <w:rPr>
          <w:lang w:val="en-IE"/>
        </w:rPr>
        <w:t xml:space="preserve"> </w:t>
      </w:r>
    </w:p>
  </w:footnote>
  <w:footnote w:id="98">
    <w:p w14:paraId="5243B8B8" w14:textId="77777777" w:rsidR="00933ED2" w:rsidRPr="0024785C" w:rsidRDefault="00933ED2" w:rsidP="00B2260E">
      <w:pPr>
        <w:pStyle w:val="FootnoteText"/>
        <w:rPr>
          <w:lang w:val="en-IE"/>
        </w:rPr>
      </w:pPr>
      <w:r w:rsidRPr="0024785C">
        <w:rPr>
          <w:rStyle w:val="FootnoteReference"/>
          <w:lang w:val="en-IE"/>
        </w:rPr>
        <w:footnoteRef/>
      </w:r>
      <w:r w:rsidRPr="0024785C">
        <w:rPr>
          <w:lang w:val="en-IE"/>
        </w:rPr>
        <w:t xml:space="preserve"> </w:t>
      </w:r>
      <w:r>
        <w:rPr>
          <w:lang w:val="en-IE"/>
        </w:rPr>
        <w:tab/>
      </w:r>
      <w:r w:rsidRPr="008C16CA">
        <w:t>Technical Cabinet of the Prosecutor General’s Office (2026)</w:t>
      </w:r>
      <w:r w:rsidRPr="0024785C">
        <w:rPr>
          <w:lang w:val="en-IE"/>
        </w:rPr>
        <w:t xml:space="preserve">, written input, p.27. </w:t>
      </w:r>
    </w:p>
  </w:footnote>
  <w:footnote w:id="99">
    <w:p w14:paraId="573526F5" w14:textId="77777777" w:rsidR="00933ED2" w:rsidRPr="006D29FC" w:rsidRDefault="00933ED2" w:rsidP="00B2260E">
      <w:pPr>
        <w:pStyle w:val="FootnoteText"/>
      </w:pPr>
      <w:r>
        <w:rPr>
          <w:rStyle w:val="FootnoteReference"/>
        </w:rPr>
        <w:footnoteRef/>
      </w:r>
      <w:r>
        <w:t xml:space="preserve"> </w:t>
      </w:r>
      <w:r>
        <w:tab/>
      </w:r>
      <w:r w:rsidRPr="00BE3480">
        <w:rPr>
          <w:lang w:val="en-IE"/>
        </w:rPr>
        <w:t xml:space="preserve">Article </w:t>
      </w:r>
      <w:r>
        <w:rPr>
          <w:lang w:val="en-IE"/>
        </w:rPr>
        <w:t>68</w:t>
      </w:r>
      <w:r w:rsidRPr="00BE3480">
        <w:rPr>
          <w:lang w:val="en-IE"/>
        </w:rPr>
        <w:t xml:space="preserve"> of the draft l</w:t>
      </w:r>
      <w:r>
        <w:rPr>
          <w:lang w:val="en-IE"/>
        </w:rPr>
        <w:t>aw, as published for the Hearing and Public Information on the draft Open Administration Law.</w:t>
      </w:r>
    </w:p>
  </w:footnote>
  <w:footnote w:id="100">
    <w:p w14:paraId="2D247852" w14:textId="77777777" w:rsidR="00933ED2" w:rsidRPr="00340891" w:rsidRDefault="00933ED2" w:rsidP="00B2260E">
      <w:pPr>
        <w:pStyle w:val="FootnoteText"/>
      </w:pPr>
      <w:r>
        <w:rPr>
          <w:rStyle w:val="FootnoteReference"/>
        </w:rPr>
        <w:footnoteRef/>
      </w:r>
      <w:r>
        <w:t xml:space="preserve"> </w:t>
      </w:r>
      <w:r>
        <w:tab/>
      </w:r>
      <w:r w:rsidRPr="0024785C">
        <w:rPr>
          <w:lang w:val="en-IE"/>
        </w:rPr>
        <w:t>Spanish Government (2026), written input, p.</w:t>
      </w:r>
      <w:r>
        <w:rPr>
          <w:lang w:val="en-IE"/>
        </w:rPr>
        <w:t xml:space="preserve"> </w:t>
      </w:r>
      <w:r w:rsidRPr="0024785C">
        <w:rPr>
          <w:lang w:val="en-IE"/>
        </w:rPr>
        <w:t>25</w:t>
      </w:r>
      <w:r>
        <w:rPr>
          <w:lang w:val="en-IE"/>
        </w:rPr>
        <w:t>.</w:t>
      </w:r>
    </w:p>
  </w:footnote>
  <w:footnote w:id="101">
    <w:p w14:paraId="6B28AA2B" w14:textId="77777777" w:rsidR="00933ED2" w:rsidRPr="00E56A09" w:rsidRDefault="00933ED2" w:rsidP="00B2260E">
      <w:pPr>
        <w:pStyle w:val="FootnoteText"/>
        <w:rPr>
          <w:lang w:val="en-IE"/>
        </w:rPr>
      </w:pPr>
      <w:r>
        <w:rPr>
          <w:rStyle w:val="FootnoteReference"/>
        </w:rPr>
        <w:footnoteRef/>
      </w:r>
      <w:r>
        <w:t xml:space="preserve"> </w:t>
      </w:r>
      <w:r w:rsidRPr="00E56A09">
        <w:rPr>
          <w:lang w:val="en-IE"/>
        </w:rPr>
        <w:tab/>
        <w:t>Article 73 of the draft l</w:t>
      </w:r>
      <w:r>
        <w:rPr>
          <w:lang w:val="en-IE"/>
        </w:rPr>
        <w:t>aw, as published for the Hearing and Public Information on the draft Open Administration Law.</w:t>
      </w:r>
    </w:p>
  </w:footnote>
  <w:footnote w:id="102">
    <w:p w14:paraId="12151F4C" w14:textId="77777777" w:rsidR="00933ED2" w:rsidRPr="0024785C" w:rsidRDefault="00933ED2" w:rsidP="00B2260E">
      <w:pPr>
        <w:pStyle w:val="FootnoteText"/>
        <w:rPr>
          <w:lang w:val="en-IE"/>
        </w:rPr>
      </w:pPr>
      <w:r w:rsidRPr="0024785C">
        <w:rPr>
          <w:rStyle w:val="FootnoteReference"/>
          <w:lang w:val="en-IE"/>
        </w:rPr>
        <w:footnoteRef/>
      </w:r>
      <w:r>
        <w:rPr>
          <w:lang w:val="en-IE"/>
        </w:rPr>
        <w:tab/>
      </w:r>
      <w:r w:rsidRPr="0024785C">
        <w:rPr>
          <w:lang w:val="en-IE"/>
        </w:rPr>
        <w:t>Spanish Government (2026), written input, p.</w:t>
      </w:r>
      <w:r>
        <w:rPr>
          <w:lang w:val="en-IE"/>
        </w:rPr>
        <w:t xml:space="preserve"> </w:t>
      </w:r>
      <w:r w:rsidRPr="0024785C">
        <w:rPr>
          <w:lang w:val="en-IE"/>
        </w:rPr>
        <w:t>25; country visit Spain, Government.</w:t>
      </w:r>
    </w:p>
  </w:footnote>
  <w:footnote w:id="103">
    <w:p w14:paraId="4F5E5AD5" w14:textId="77777777" w:rsidR="00933ED2" w:rsidRPr="00DC38B0" w:rsidRDefault="00933ED2" w:rsidP="00B2260E">
      <w:pPr>
        <w:pStyle w:val="FootnoteText"/>
      </w:pPr>
      <w:r>
        <w:rPr>
          <w:rStyle w:val="FootnoteReference"/>
        </w:rPr>
        <w:footnoteRef/>
      </w:r>
      <w:r>
        <w:tab/>
        <w:t>The current budget amounts to EUR 3.9 million. The Council considers a steady budgetary increase of 12-15% annually indispensable for the Council to process the growing number of complaints, which are also increasingly complex and require extensive legal analyses. Country visit Spain, Transparency Council.</w:t>
      </w:r>
    </w:p>
  </w:footnote>
  <w:footnote w:id="104">
    <w:p w14:paraId="71CF8E5E" w14:textId="77777777" w:rsidR="00933ED2" w:rsidRPr="00967795" w:rsidRDefault="00933ED2" w:rsidP="00B2260E">
      <w:pPr>
        <w:pStyle w:val="FootnoteText"/>
        <w:rPr>
          <w:lang w:val="en-IE"/>
        </w:rPr>
      </w:pPr>
      <w:r>
        <w:rPr>
          <w:rStyle w:val="FootnoteReference"/>
        </w:rPr>
        <w:footnoteRef/>
      </w:r>
      <w:r>
        <w:t xml:space="preserve"> </w:t>
      </w:r>
      <w:r>
        <w:tab/>
      </w:r>
      <w:r w:rsidRPr="007D7634">
        <w:t xml:space="preserve">In 2025, there were 2 767 new complaints, compared to 1 973 in 2024, representing a 40% increase. </w:t>
      </w:r>
      <w:r>
        <w:t xml:space="preserve">During this period, </w:t>
      </w:r>
      <w:r w:rsidRPr="007D7634">
        <w:t>2 234 claims were resolved compared to 2 231 in 2024</w:t>
      </w:r>
      <w:r>
        <w:t>.</w:t>
      </w:r>
      <w:r w:rsidRPr="000A6BD5">
        <w:rPr>
          <w:lang w:val="en-IE"/>
        </w:rPr>
        <w:t xml:space="preserve"> </w:t>
      </w:r>
      <w:r w:rsidRPr="0024785C">
        <w:rPr>
          <w:lang w:val="en-IE"/>
        </w:rPr>
        <w:t>Transparency Council (202</w:t>
      </w:r>
      <w:r>
        <w:rPr>
          <w:lang w:val="en-IE"/>
        </w:rPr>
        <w:t>6</w:t>
      </w:r>
      <w:r w:rsidRPr="0024785C">
        <w:rPr>
          <w:lang w:val="en-IE"/>
        </w:rPr>
        <w:t xml:space="preserve">), </w:t>
      </w:r>
      <w:r>
        <w:rPr>
          <w:lang w:val="en-IE"/>
        </w:rPr>
        <w:t>additional written input, p. 3.</w:t>
      </w:r>
    </w:p>
  </w:footnote>
  <w:footnote w:id="105">
    <w:p w14:paraId="4295A90E" w14:textId="77777777" w:rsidR="00933ED2" w:rsidRPr="00E26E2B" w:rsidRDefault="00933ED2" w:rsidP="00B2260E">
      <w:pPr>
        <w:pStyle w:val="FootnoteText"/>
      </w:pPr>
      <w:r>
        <w:rPr>
          <w:rStyle w:val="FootnoteReference"/>
        </w:rPr>
        <w:footnoteRef/>
      </w:r>
      <w:r>
        <w:t xml:space="preserve"> </w:t>
      </w:r>
      <w:r>
        <w:tab/>
      </w:r>
      <w:r w:rsidRPr="0024785C">
        <w:rPr>
          <w:lang w:val="en-IE"/>
        </w:rPr>
        <w:t>Spanish Government (2026), written input, p.</w:t>
      </w:r>
      <w:r>
        <w:rPr>
          <w:lang w:val="en-IE"/>
        </w:rPr>
        <w:t xml:space="preserve"> 21.</w:t>
      </w:r>
    </w:p>
  </w:footnote>
  <w:footnote w:id="106">
    <w:p w14:paraId="02835023" w14:textId="77777777" w:rsidR="00933ED2" w:rsidRPr="00B467B7" w:rsidRDefault="00933ED2" w:rsidP="00B2260E">
      <w:pPr>
        <w:pStyle w:val="FootnoteText"/>
      </w:pPr>
      <w:r>
        <w:rPr>
          <w:rStyle w:val="FootnoteReference"/>
        </w:rPr>
        <w:footnoteRef/>
      </w:r>
      <w:r>
        <w:t xml:space="preserve"> </w:t>
      </w:r>
      <w:r>
        <w:tab/>
        <w:t>Hay Derecho (2026a), p. 36.</w:t>
      </w:r>
    </w:p>
  </w:footnote>
  <w:footnote w:id="107">
    <w:p w14:paraId="02A5FE39" w14:textId="77777777" w:rsidR="00933ED2" w:rsidRPr="00CA3562" w:rsidRDefault="00933ED2" w:rsidP="00B2260E">
      <w:pPr>
        <w:pStyle w:val="FootnoteText"/>
        <w:rPr>
          <w:lang w:val="en-IE"/>
        </w:rPr>
      </w:pPr>
      <w:r>
        <w:rPr>
          <w:rStyle w:val="FootnoteReference"/>
        </w:rPr>
        <w:footnoteRef/>
      </w:r>
      <w:r>
        <w:t xml:space="preserve"> </w:t>
      </w:r>
      <w:r>
        <w:tab/>
      </w:r>
      <w:r w:rsidRPr="0024785C">
        <w:rPr>
          <w:lang w:val="en-IE"/>
        </w:rPr>
        <w:t>Spanish Government (2026), written input, p.</w:t>
      </w:r>
      <w:r>
        <w:rPr>
          <w:lang w:val="en-IE"/>
        </w:rPr>
        <w:t>14</w:t>
      </w:r>
      <w:r w:rsidRPr="0024785C">
        <w:rPr>
          <w:lang w:val="en-IE"/>
        </w:rPr>
        <w:t>; country visit Spain, Government.</w:t>
      </w:r>
      <w:r>
        <w:rPr>
          <w:lang w:val="en-IE"/>
        </w:rPr>
        <w:t xml:space="preserve"> </w:t>
      </w:r>
      <w:r w:rsidRPr="0070475D">
        <w:rPr>
          <w:lang w:val="en-IE"/>
        </w:rPr>
        <w:t>Measure 11 of the State Plan against Corruption envisages a functional and operational strengthening of the</w:t>
      </w:r>
      <w:r>
        <w:rPr>
          <w:lang w:val="en-IE"/>
        </w:rPr>
        <w:t xml:space="preserve"> ORGA</w:t>
      </w:r>
      <w:r w:rsidRPr="0070475D">
        <w:rPr>
          <w:lang w:val="en-IE"/>
        </w:rPr>
        <w:t xml:space="preserve">, primarily through increased staffing and budgetary resources, adaptation to </w:t>
      </w:r>
      <w:r>
        <w:rPr>
          <w:lang w:val="en-IE"/>
        </w:rPr>
        <w:t xml:space="preserve">Directive (EU) 2024/1260 on </w:t>
      </w:r>
      <w:r w:rsidRPr="0070475D">
        <w:rPr>
          <w:lang w:val="en-IE"/>
        </w:rPr>
        <w:t>Asset Recovery and Confiscation, enhanced cross-border cooperation and asset-tracing capacity, improved management of confiscated assets, and the adoption of a national asset recovery strategy.</w:t>
      </w:r>
    </w:p>
  </w:footnote>
  <w:footnote w:id="108">
    <w:p w14:paraId="35168A55" w14:textId="77777777" w:rsidR="00933ED2" w:rsidRPr="00177211" w:rsidRDefault="00933ED2" w:rsidP="00B2260E">
      <w:pPr>
        <w:pStyle w:val="FootnoteText"/>
      </w:pPr>
      <w:r>
        <w:rPr>
          <w:rStyle w:val="FootnoteReference"/>
        </w:rPr>
        <w:footnoteRef/>
      </w:r>
      <w:r>
        <w:t xml:space="preserve"> </w:t>
      </w:r>
      <w:r>
        <w:tab/>
        <w:t xml:space="preserve">Concerning law-enforcement agencies, the key systemic shortcomings identified by GRECO are a lack of </w:t>
      </w:r>
      <w:r w:rsidRPr="002C6174">
        <w:t>dedicated anti-corruption strategy for the Police</w:t>
      </w:r>
      <w:r>
        <w:t>, a w</w:t>
      </w:r>
      <w:r w:rsidRPr="002C6174">
        <w:t>eak implementation of codes of conduct</w:t>
      </w:r>
      <w:r>
        <w:t xml:space="preserve">, </w:t>
      </w:r>
      <w:r w:rsidRPr="002C6174">
        <w:rPr>
          <w:lang w:val="en-IE"/>
        </w:rPr>
        <w:t>insufficient transparency in recruitment and promotions</w:t>
      </w:r>
      <w:r>
        <w:rPr>
          <w:lang w:val="en-IE"/>
        </w:rPr>
        <w:t>, l</w:t>
      </w:r>
      <w:r w:rsidRPr="002C6174">
        <w:rPr>
          <w:lang w:val="en-IE"/>
        </w:rPr>
        <w:t>ack of periodic vetting of officers</w:t>
      </w:r>
      <w:r>
        <w:rPr>
          <w:lang w:val="en-IE"/>
        </w:rPr>
        <w:t>, w</w:t>
      </w:r>
      <w:r w:rsidRPr="002C6174">
        <w:rPr>
          <w:lang w:val="en-IE"/>
        </w:rPr>
        <w:t>eak conflict-of-interest management</w:t>
      </w:r>
      <w:r>
        <w:rPr>
          <w:lang w:val="en-IE"/>
        </w:rPr>
        <w:t>, i</w:t>
      </w:r>
      <w:r w:rsidRPr="002C6174">
        <w:rPr>
          <w:lang w:val="en-IE"/>
        </w:rPr>
        <w:t xml:space="preserve">ncomplete whistleblower protections for </w:t>
      </w:r>
      <w:r>
        <w:rPr>
          <w:lang w:val="en-IE"/>
        </w:rPr>
        <w:t xml:space="preserve">the </w:t>
      </w:r>
      <w:r w:rsidRPr="002C6174">
        <w:rPr>
          <w:lang w:val="en-IE"/>
        </w:rPr>
        <w:t>Police</w:t>
      </w:r>
      <w:r>
        <w:rPr>
          <w:lang w:val="en-IE"/>
        </w:rPr>
        <w:t>, and d</w:t>
      </w:r>
      <w:r w:rsidRPr="002C6174">
        <w:rPr>
          <w:lang w:val="en-IE"/>
        </w:rPr>
        <w:t>isciplinary systems needing major reform</w:t>
      </w:r>
      <w:r>
        <w:rPr>
          <w:lang w:val="en-IE"/>
        </w:rPr>
        <w:t>.</w:t>
      </w:r>
      <w:r>
        <w:t xml:space="preserve"> GRECO (2025), pp. 12 -19. See also Recommendation xii of GRECO (2019). </w:t>
      </w:r>
    </w:p>
  </w:footnote>
  <w:footnote w:id="109">
    <w:p w14:paraId="3CC59D24" w14:textId="77777777" w:rsidR="00933ED2" w:rsidRPr="0023515B" w:rsidRDefault="00933ED2" w:rsidP="00B2260E">
      <w:pPr>
        <w:pStyle w:val="FootnoteText"/>
        <w:rPr>
          <w:lang w:val="en-IE"/>
        </w:rPr>
      </w:pPr>
      <w:r>
        <w:rPr>
          <w:rStyle w:val="FootnoteReference"/>
        </w:rPr>
        <w:footnoteRef/>
      </w:r>
      <w:r>
        <w:t xml:space="preserve"> </w:t>
      </w:r>
      <w:r w:rsidRPr="00FB0DD0">
        <w:rPr>
          <w:lang w:val="en-IE"/>
        </w:rPr>
        <w:tab/>
      </w:r>
      <w:r w:rsidRPr="008C78EC">
        <w:t>The 2025 Rule of Law Report recommended to Spain to “take forward the legislative process to strengthen rules on conflicts of interest and asset declarations of persons with top executive functions, including by further reinforcing the independence and sanctioning power of the Office for Conflicts of Interest.” 2025 Rule of Law Report, Spain, p. 2</w:t>
      </w:r>
      <w:r>
        <w:t>. No progress was assessed on this recommendation in 2024 and some progress in 2025.</w:t>
      </w:r>
    </w:p>
  </w:footnote>
  <w:footnote w:id="110">
    <w:p w14:paraId="042A3E1B" w14:textId="0C5B763C" w:rsidR="00933ED2" w:rsidRPr="00682B76" w:rsidRDefault="00933ED2" w:rsidP="00B2260E">
      <w:pPr>
        <w:pStyle w:val="FootnoteText"/>
      </w:pPr>
      <w:r>
        <w:rPr>
          <w:rStyle w:val="FootnoteReference"/>
        </w:rPr>
        <w:footnoteRef/>
      </w:r>
      <w:r>
        <w:tab/>
      </w:r>
      <w:r w:rsidR="3AE059E3">
        <w:t xml:space="preserve">Between 2014 and April 2025, the OCI granted 597 post-employment </w:t>
      </w:r>
      <w:r w:rsidR="3AE059E3" w:rsidRPr="008072CB">
        <w:t xml:space="preserve">authorisations </w:t>
      </w:r>
      <w:r w:rsidR="3AE059E3">
        <w:t>to 323 former senior officials</w:t>
      </w:r>
      <w:r w:rsidR="3AE059E3" w:rsidRPr="008072CB">
        <w:t xml:space="preserve"> (</w:t>
      </w:r>
      <w:r w:rsidR="3AE059E3">
        <w:t xml:space="preserve">1.8 per </w:t>
      </w:r>
      <w:r w:rsidR="3AE059E3" w:rsidRPr="008072CB">
        <w:t xml:space="preserve">person), with only </w:t>
      </w:r>
      <w:r w:rsidR="3AE059E3">
        <w:t>3.3% denied</w:t>
      </w:r>
      <w:r w:rsidR="3AE059E3" w:rsidRPr="008072CB">
        <w:t xml:space="preserve">. </w:t>
      </w:r>
      <w:r w:rsidR="3AE059E3">
        <w:t>Between</w:t>
      </w:r>
      <w:r w:rsidR="3AE059E3" w:rsidRPr="008072CB">
        <w:t xml:space="preserve"> 2015</w:t>
      </w:r>
      <w:r w:rsidR="3AE059E3">
        <w:t xml:space="preserve"> and </w:t>
      </w:r>
      <w:r w:rsidR="3AE059E3" w:rsidRPr="008072CB">
        <w:t xml:space="preserve">2025, only 53 preliminary proceedings followed </w:t>
      </w:r>
      <w:r w:rsidR="3AE059E3">
        <w:t xml:space="preserve">external </w:t>
      </w:r>
      <w:r w:rsidR="3AE059E3" w:rsidRPr="008072CB">
        <w:t xml:space="preserve">complaints, and sanctions remain rare. </w:t>
      </w:r>
      <w:r w:rsidR="3AE059E3">
        <w:t>Stakeholders pointed to the fact that, w</w:t>
      </w:r>
      <w:r w:rsidR="3AE059E3" w:rsidRPr="008072CB">
        <w:t>hile asset and interest</w:t>
      </w:r>
      <w:r w:rsidR="3AE059E3">
        <w:t xml:space="preserve"> declarations </w:t>
      </w:r>
      <w:r w:rsidR="3AE059E3" w:rsidRPr="008072CB">
        <w:t>are required</w:t>
      </w:r>
      <w:r w:rsidR="3AE059E3">
        <w:t xml:space="preserve">, there is no granular publicly available comparison </w:t>
      </w:r>
      <w:r w:rsidR="3AE059E3" w:rsidRPr="008072CB">
        <w:t>or</w:t>
      </w:r>
      <w:r w:rsidR="3AE059E3">
        <w:t xml:space="preserve"> evidence of effective detection of unjustified enrichment. Hay Derecho (2026a), p. 35 and </w:t>
      </w:r>
      <w:r w:rsidR="3AE059E3" w:rsidRPr="00682B76">
        <w:t xml:space="preserve">OCI </w:t>
      </w:r>
      <w:r w:rsidR="3AE059E3">
        <w:t>(2025).</w:t>
      </w:r>
    </w:p>
  </w:footnote>
  <w:footnote w:id="111">
    <w:p w14:paraId="639D44FC" w14:textId="4B43BE99" w:rsidR="00933ED2" w:rsidRPr="00E26E2B" w:rsidRDefault="00933ED2" w:rsidP="00B2260E">
      <w:pPr>
        <w:pStyle w:val="FootnoteText"/>
      </w:pPr>
      <w:r>
        <w:rPr>
          <w:rStyle w:val="FootnoteReference"/>
        </w:rPr>
        <w:footnoteRef/>
      </w:r>
      <w:r>
        <w:t xml:space="preserve"> </w:t>
      </w:r>
      <w:r>
        <w:tab/>
      </w:r>
      <w:r w:rsidR="0088518B">
        <w:rPr>
          <w:rFonts w:eastAsia="Calibri"/>
          <w:szCs w:val="22"/>
          <w:lang w:eastAsia="en-US"/>
        </w:rPr>
        <w:t xml:space="preserve">The National Anti-Fraud Coordination Service is </w:t>
      </w:r>
      <w:r w:rsidR="0088518B">
        <w:rPr>
          <w:rFonts w:eastAsia="Calibri"/>
          <w:szCs w:val="22"/>
          <w:lang w:val="en-US" w:eastAsia="en-US"/>
        </w:rPr>
        <w:t xml:space="preserve">integrated into the Office of the Controller-General of the State </w:t>
      </w:r>
      <w:r w:rsidR="00023BB0">
        <w:rPr>
          <w:rFonts w:eastAsia="Calibri"/>
          <w:szCs w:val="22"/>
          <w:lang w:val="en-US" w:eastAsia="en-US"/>
        </w:rPr>
        <w:t>Administrati</w:t>
      </w:r>
      <w:r w:rsidR="00023BB0" w:rsidRPr="00E075AB">
        <w:rPr>
          <w:rFonts w:eastAsia="Calibri"/>
          <w:szCs w:val="22"/>
          <w:lang w:val="en-US" w:eastAsia="en-US"/>
        </w:rPr>
        <w:t>on</w:t>
      </w:r>
      <w:r w:rsidR="00C73D18" w:rsidRPr="00E075AB">
        <w:rPr>
          <w:rFonts w:eastAsia="Calibri"/>
          <w:szCs w:val="22"/>
          <w:lang w:val="en-US" w:eastAsia="en-US"/>
        </w:rPr>
        <w:t xml:space="preserve"> (IGAE) of the Ministry of Finance.</w:t>
      </w:r>
      <w:r w:rsidR="0088518B" w:rsidRPr="00E075AB">
        <w:t xml:space="preserve"> </w:t>
      </w:r>
      <w:r w:rsidRPr="00E075AB">
        <w:t xml:space="preserve">Country visit Spain, </w:t>
      </w:r>
      <w:r w:rsidR="000A60A2">
        <w:t xml:space="preserve">Spanish </w:t>
      </w:r>
      <w:r w:rsidRPr="00E075AB">
        <w:t>Government</w:t>
      </w:r>
      <w:r w:rsidR="00CA69EF" w:rsidRPr="00E075AB">
        <w:t xml:space="preserve"> and Spanish Government </w:t>
      </w:r>
      <w:r w:rsidR="00745609" w:rsidRPr="00E075AB">
        <w:t xml:space="preserve">(2026c), </w:t>
      </w:r>
      <w:r w:rsidR="00A21E42">
        <w:t>additional written input</w:t>
      </w:r>
      <w:r w:rsidR="009C091C" w:rsidRPr="00E075AB">
        <w:t>.</w:t>
      </w:r>
    </w:p>
  </w:footnote>
  <w:footnote w:id="112">
    <w:p w14:paraId="236C53B6" w14:textId="77777777" w:rsidR="00933ED2" w:rsidRPr="00070D44" w:rsidRDefault="00933ED2" w:rsidP="00B2260E">
      <w:pPr>
        <w:pStyle w:val="FootnoteText"/>
      </w:pPr>
      <w:r>
        <w:rPr>
          <w:rStyle w:val="FootnoteReference"/>
        </w:rPr>
        <w:footnoteRef/>
      </w:r>
      <w:r>
        <w:tab/>
      </w:r>
      <w:r w:rsidR="3AE059E3">
        <w:t>Country visit Spain, Congress.</w:t>
      </w:r>
    </w:p>
  </w:footnote>
  <w:footnote w:id="113">
    <w:p w14:paraId="0DD430A2" w14:textId="77777777" w:rsidR="00933ED2" w:rsidRPr="00070D44" w:rsidRDefault="00933ED2" w:rsidP="00B2260E">
      <w:pPr>
        <w:pStyle w:val="FootnoteText"/>
        <w:rPr>
          <w:lang w:val="en-IE"/>
        </w:rPr>
      </w:pPr>
      <w:r>
        <w:rPr>
          <w:rStyle w:val="FootnoteReference"/>
        </w:rPr>
        <w:footnoteRef/>
      </w:r>
      <w:r>
        <w:tab/>
      </w:r>
      <w:r w:rsidR="3AE059E3" w:rsidRPr="0024785C">
        <w:rPr>
          <w:lang w:val="en-IE"/>
        </w:rPr>
        <w:t>Democracy Action Plan, p. 29.</w:t>
      </w:r>
    </w:p>
  </w:footnote>
  <w:footnote w:id="114">
    <w:p w14:paraId="205A5D38" w14:textId="77777777" w:rsidR="00933ED2" w:rsidRPr="00B944CA" w:rsidRDefault="00933ED2" w:rsidP="00B2260E">
      <w:pPr>
        <w:pStyle w:val="FootnoteText"/>
      </w:pPr>
      <w:r>
        <w:rPr>
          <w:rStyle w:val="FootnoteReference"/>
        </w:rPr>
        <w:footnoteRef/>
      </w:r>
      <w:r>
        <w:t xml:space="preserve"> </w:t>
      </w:r>
      <w:r>
        <w:tab/>
        <w:t xml:space="preserve">Country visit Spain, Congress, additional written input. See also </w:t>
      </w:r>
      <w:r w:rsidRPr="0024785C">
        <w:rPr>
          <w:lang w:val="en-IE"/>
        </w:rPr>
        <w:t>2025 Rule of Law Report, Spain, p.1</w:t>
      </w:r>
      <w:r>
        <w:rPr>
          <w:lang w:val="en-IE"/>
        </w:rPr>
        <w:t>2.</w:t>
      </w:r>
    </w:p>
  </w:footnote>
  <w:footnote w:id="115">
    <w:p w14:paraId="45B6E0D2" w14:textId="77777777" w:rsidR="00933ED2" w:rsidRPr="00262A8C" w:rsidRDefault="00933ED2" w:rsidP="00B2260E">
      <w:pPr>
        <w:pStyle w:val="FootnoteText"/>
        <w:rPr>
          <w:lang w:val="en-IE"/>
        </w:rPr>
      </w:pPr>
      <w:r>
        <w:rPr>
          <w:rStyle w:val="FootnoteReference"/>
        </w:rPr>
        <w:footnoteRef/>
      </w:r>
      <w:r>
        <w:tab/>
      </w:r>
      <w:r w:rsidRPr="002A64B4">
        <w:t xml:space="preserve">The 2025 Rule of Law Report recommended Spain to </w:t>
      </w:r>
      <w:r>
        <w:t>“</w:t>
      </w:r>
      <w:r w:rsidRPr="002A64B4">
        <w:t>continue the ongoing procedure to adopt legislation on lobbying, including the establishment of a mandatory public register of lobbyists.</w:t>
      </w:r>
      <w:r>
        <w:t>” 2025 Rule of Law Report Spain, p. 2. Significant progress was assessed on this recommendation in 2023, no progress in 2024 and some progress in 2025.</w:t>
      </w:r>
    </w:p>
  </w:footnote>
  <w:footnote w:id="116">
    <w:p w14:paraId="13DBA9F7" w14:textId="4F8E4A83" w:rsidR="00933ED2" w:rsidRPr="0024785C" w:rsidRDefault="00933ED2" w:rsidP="00DA507C">
      <w:pPr>
        <w:pStyle w:val="FootnoteText"/>
        <w:rPr>
          <w:lang w:val="en-IE"/>
        </w:rPr>
      </w:pPr>
      <w:r w:rsidRPr="0024785C">
        <w:rPr>
          <w:rStyle w:val="FootnoteReference"/>
          <w:lang w:val="en-IE"/>
        </w:rPr>
        <w:footnoteRef/>
      </w:r>
      <w:r w:rsidRPr="0024785C">
        <w:rPr>
          <w:lang w:val="en-IE"/>
        </w:rPr>
        <w:t xml:space="preserve"> </w:t>
      </w:r>
      <w:r w:rsidRPr="0024785C">
        <w:rPr>
          <w:lang w:val="en-IE"/>
        </w:rPr>
        <w:tab/>
        <w:t xml:space="preserve">Draft law on transparency and integrity of the activities of interest groups 121/000046. </w:t>
      </w:r>
      <w:r>
        <w:t xml:space="preserve">The law also </w:t>
      </w:r>
      <w:r w:rsidRPr="000E7F9D">
        <w:t>aims to implement outstanding GRECO recommendations</w:t>
      </w:r>
      <w:r>
        <w:t xml:space="preserve">, Recommendation </w:t>
      </w:r>
      <w:r w:rsidR="00631873">
        <w:t>v</w:t>
      </w:r>
      <w:r>
        <w:t xml:space="preserve">i, </w:t>
      </w:r>
      <w:r w:rsidRPr="0024785C">
        <w:rPr>
          <w:lang w:val="en-IE"/>
        </w:rPr>
        <w:t>GRECO (202</w:t>
      </w:r>
      <w:r w:rsidR="00631873">
        <w:rPr>
          <w:lang w:val="en-IE"/>
        </w:rPr>
        <w:t>5</w:t>
      </w:r>
      <w:r w:rsidRPr="0024785C">
        <w:rPr>
          <w:lang w:val="en-IE"/>
        </w:rPr>
        <w:t>), p</w:t>
      </w:r>
      <w:r>
        <w:rPr>
          <w:lang w:val="en-IE"/>
        </w:rPr>
        <w:t xml:space="preserve">. </w:t>
      </w:r>
      <w:r w:rsidR="00631873">
        <w:rPr>
          <w:lang w:val="en-IE"/>
        </w:rPr>
        <w:t>10</w:t>
      </w:r>
      <w:r>
        <w:rPr>
          <w:lang w:val="en-IE"/>
        </w:rPr>
        <w:t>.</w:t>
      </w:r>
    </w:p>
  </w:footnote>
  <w:footnote w:id="117">
    <w:p w14:paraId="6D141BC1" w14:textId="623C5E6F" w:rsidR="00933ED2" w:rsidRPr="00D252DF" w:rsidRDefault="00933ED2" w:rsidP="00B2260E">
      <w:pPr>
        <w:pStyle w:val="FootnoteText"/>
      </w:pPr>
      <w:r>
        <w:rPr>
          <w:rStyle w:val="FootnoteReference"/>
        </w:rPr>
        <w:footnoteRef/>
      </w:r>
      <w:r>
        <w:t xml:space="preserve"> </w:t>
      </w:r>
      <w:r>
        <w:tab/>
      </w:r>
      <w:r w:rsidRPr="00542A4D">
        <w:t xml:space="preserve">The parliamentary groups tabled 115 amendments, which have been consolidated into 19 compromise amendments. </w:t>
      </w:r>
      <w:r>
        <w:t xml:space="preserve">The amendments’ deadline had been extended 21 times and there has been no progress since September 2025. </w:t>
      </w:r>
      <w:r w:rsidRPr="0024785C">
        <w:rPr>
          <w:lang w:val="en-IE"/>
        </w:rPr>
        <w:t>Spanish Government (2026), written input, p.</w:t>
      </w:r>
      <w:r>
        <w:rPr>
          <w:lang w:val="en-IE"/>
        </w:rPr>
        <w:t>19</w:t>
      </w:r>
      <w:r w:rsidRPr="0024785C">
        <w:rPr>
          <w:lang w:val="en-IE"/>
        </w:rPr>
        <w:t>; country visit Spain, Government</w:t>
      </w:r>
      <w:r>
        <w:rPr>
          <w:lang w:val="en-IE"/>
        </w:rPr>
        <w:t xml:space="preserve">, and </w:t>
      </w:r>
      <w:r>
        <w:t>Hay Derecho (2026a), p.</w:t>
      </w:r>
      <w:r w:rsidR="00711A9B">
        <w:t xml:space="preserve"> </w:t>
      </w:r>
      <w:r>
        <w:t>28.</w:t>
      </w:r>
    </w:p>
  </w:footnote>
  <w:footnote w:id="118">
    <w:p w14:paraId="3779AFB4" w14:textId="77777777" w:rsidR="00933ED2" w:rsidRPr="00EB2D96" w:rsidRDefault="00933ED2" w:rsidP="00DA507C">
      <w:pPr>
        <w:pStyle w:val="FootnoteText"/>
      </w:pPr>
      <w:r>
        <w:rPr>
          <w:rStyle w:val="FootnoteReference"/>
        </w:rPr>
        <w:footnoteRef/>
      </w:r>
      <w:r>
        <w:t xml:space="preserve"> </w:t>
      </w:r>
      <w:r>
        <w:tab/>
        <w:t>Milestone 432 under Component 11 of the revised Annex to the Council Implementing Decision of 13 July 2021 on the approval of the assessment of the recovery and resilience plan for Spain</w:t>
      </w:r>
      <w:r w:rsidRPr="00EB2D96">
        <w:t>.</w:t>
      </w:r>
    </w:p>
  </w:footnote>
  <w:footnote w:id="119">
    <w:p w14:paraId="52565824" w14:textId="77777777" w:rsidR="00933ED2" w:rsidRPr="00FF54A8" w:rsidRDefault="00933ED2" w:rsidP="00B2260E">
      <w:pPr>
        <w:pStyle w:val="FootnoteText"/>
        <w:rPr>
          <w:lang w:val="en-IE"/>
        </w:rPr>
      </w:pPr>
      <w:r>
        <w:rPr>
          <w:rStyle w:val="FootnoteReference"/>
        </w:rPr>
        <w:footnoteRef/>
      </w:r>
      <w:r>
        <w:tab/>
      </w:r>
      <w:r w:rsidRPr="00542A4D">
        <w:t>In the Congress, 75 Parliamentarians notified their meetings, compared to 46 in 2024</w:t>
      </w:r>
      <w:r>
        <w:t xml:space="preserve"> (the Congress has 350 members)</w:t>
      </w:r>
      <w:r w:rsidRPr="00542A4D">
        <w:t>. In the Senate, the situation was reported as comparable</w:t>
      </w:r>
      <w:r>
        <w:t>.</w:t>
      </w:r>
      <w:r w:rsidRPr="00542A4D">
        <w:t xml:space="preserve"> </w:t>
      </w:r>
      <w:r w:rsidRPr="00FF54A8">
        <w:t>Country visit Spain, the Congress and the Senate</w:t>
      </w:r>
      <w:r>
        <w:t>.</w:t>
      </w:r>
    </w:p>
  </w:footnote>
  <w:footnote w:id="120">
    <w:p w14:paraId="55804F6B" w14:textId="77777777" w:rsidR="00933ED2" w:rsidRPr="00A37179" w:rsidRDefault="00933ED2" w:rsidP="00B2260E">
      <w:pPr>
        <w:pStyle w:val="FootnoteText"/>
      </w:pPr>
      <w:r>
        <w:rPr>
          <w:rStyle w:val="FootnoteReference"/>
        </w:rPr>
        <w:footnoteRef/>
      </w:r>
      <w:r>
        <w:tab/>
        <w:t>Liberties Rule of Law Report (2026), p. 15.</w:t>
      </w:r>
    </w:p>
  </w:footnote>
  <w:footnote w:id="121">
    <w:p w14:paraId="36739CC1" w14:textId="77777777" w:rsidR="00933ED2" w:rsidRPr="00472FBC" w:rsidRDefault="00933ED2" w:rsidP="00B2260E">
      <w:pPr>
        <w:pStyle w:val="FootnoteText"/>
      </w:pPr>
      <w:r>
        <w:rPr>
          <w:rStyle w:val="FootnoteReference"/>
        </w:rPr>
        <w:footnoteRef/>
      </w:r>
      <w:r>
        <w:t xml:space="preserve"> </w:t>
      </w:r>
      <w:r>
        <w:tab/>
        <w:t xml:space="preserve">The report covers the </w:t>
      </w:r>
      <w:r w:rsidRPr="00472FBC">
        <w:t>2024 financial year</w:t>
      </w:r>
      <w:r>
        <w:t>.</w:t>
      </w:r>
    </w:p>
  </w:footnote>
  <w:footnote w:id="122">
    <w:p w14:paraId="0C516CA3" w14:textId="77777777" w:rsidR="00933ED2" w:rsidRPr="00B2444E" w:rsidRDefault="00933ED2" w:rsidP="00B2260E">
      <w:pPr>
        <w:pStyle w:val="FootnoteText"/>
      </w:pPr>
      <w:r>
        <w:rPr>
          <w:rStyle w:val="FootnoteReference"/>
        </w:rPr>
        <w:footnoteRef/>
      </w:r>
      <w:r>
        <w:t xml:space="preserve"> </w:t>
      </w:r>
      <w:r>
        <w:tab/>
        <w:t>O</w:t>
      </w:r>
      <w:r w:rsidRPr="00467CCB">
        <w:t>nly one third (21 out of 63) of the audited parties included an explicit commitment to transparency in their statutes, fewer than one in five (11 out of 63) had adopted a specific protocol on active publicity obligations, and over 40 % (27 out of 63) had not designated a responsible unit or official for transparency-related publications.</w:t>
      </w:r>
      <w:r>
        <w:t xml:space="preserve"> Court of Auditors (2025), pp. </w:t>
      </w:r>
      <w:r w:rsidRPr="00C13D1D">
        <w:t>112083–112085</w:t>
      </w:r>
      <w:r>
        <w:rPr>
          <w:lang w:val="en-IE"/>
        </w:rPr>
        <w:t xml:space="preserve"> of the Official Journal</w:t>
      </w:r>
      <w:r w:rsidRPr="0050231A">
        <w:rPr>
          <w:lang w:val="en-IE"/>
        </w:rPr>
        <w:t>.</w:t>
      </w:r>
    </w:p>
  </w:footnote>
  <w:footnote w:id="123">
    <w:p w14:paraId="2AC1587F" w14:textId="77777777" w:rsidR="00933ED2" w:rsidRPr="00052298" w:rsidRDefault="00933ED2" w:rsidP="00B2260E">
      <w:pPr>
        <w:pStyle w:val="FootnoteText"/>
        <w:rPr>
          <w:lang w:val="en-IE"/>
        </w:rPr>
      </w:pPr>
      <w:r>
        <w:rPr>
          <w:rStyle w:val="FootnoteReference"/>
        </w:rPr>
        <w:footnoteRef/>
      </w:r>
      <w:r>
        <w:rPr>
          <w:lang w:val="en-IE"/>
        </w:rPr>
        <w:t xml:space="preserve"> Country visit Spain, Court of Auditors. </w:t>
      </w:r>
      <w:r w:rsidRPr="00052298">
        <w:rPr>
          <w:lang w:val="en-IE"/>
        </w:rPr>
        <w:t>Motion Nr. 14</w:t>
      </w:r>
      <w:r>
        <w:rPr>
          <w:lang w:val="en-IE"/>
        </w:rPr>
        <w:t>45,</w:t>
      </w:r>
      <w:r w:rsidRPr="00052298">
        <w:rPr>
          <w:lang w:val="en-IE"/>
        </w:rPr>
        <w:t xml:space="preserve"> regarding the financing, economic-financial activity, and control of political parties and of foundations and other entities linked to or dependent on them, approved on 27 July 2021</w:t>
      </w:r>
      <w:r>
        <w:rPr>
          <w:lang w:val="en-IE"/>
        </w:rPr>
        <w:t xml:space="preserve">. </w:t>
      </w:r>
    </w:p>
  </w:footnote>
  <w:footnote w:id="124">
    <w:p w14:paraId="722CEF9B" w14:textId="4A7D124E" w:rsidR="00126DF2" w:rsidRPr="00A10D06" w:rsidRDefault="00126DF2">
      <w:pPr>
        <w:pStyle w:val="FootnoteText"/>
        <w:rPr>
          <w:lang w:val="en-IE"/>
        </w:rPr>
      </w:pPr>
      <w:r>
        <w:rPr>
          <w:rStyle w:val="FootnoteReference"/>
        </w:rPr>
        <w:footnoteRef/>
      </w:r>
      <w:r>
        <w:t xml:space="preserve">  </w:t>
      </w:r>
      <w:r w:rsidR="00EB7319">
        <w:tab/>
      </w:r>
      <w:r w:rsidRPr="00E57E5D">
        <w:t xml:space="preserve">Spanish Government (2026c), </w:t>
      </w:r>
      <w:r w:rsidR="009E1542">
        <w:t>additional written input</w:t>
      </w:r>
      <w:r w:rsidRPr="00E57E5D">
        <w:t>.</w:t>
      </w:r>
    </w:p>
  </w:footnote>
  <w:footnote w:id="125">
    <w:p w14:paraId="412F892D" w14:textId="69ACF845" w:rsidR="00801669" w:rsidRPr="00801669" w:rsidRDefault="00801669" w:rsidP="00801669">
      <w:pPr>
        <w:pStyle w:val="FootnoteText"/>
        <w:rPr>
          <w:lang w:val="en-IE"/>
        </w:rPr>
      </w:pPr>
      <w:r w:rsidRPr="00E57E5D">
        <w:rPr>
          <w:rStyle w:val="FootnoteReference"/>
        </w:rPr>
        <w:footnoteRef/>
      </w:r>
      <w:r w:rsidRPr="00E57E5D">
        <w:tab/>
        <w:t xml:space="preserve">Spanish Government (2026c), </w:t>
      </w:r>
      <w:r w:rsidR="009E1542">
        <w:t>additional written input</w:t>
      </w:r>
      <w:r w:rsidRPr="00E57E5D">
        <w:t>.</w:t>
      </w:r>
    </w:p>
  </w:footnote>
  <w:footnote w:id="126">
    <w:p w14:paraId="566CCB37" w14:textId="77777777" w:rsidR="00933ED2" w:rsidRPr="00DA268D" w:rsidRDefault="00933ED2" w:rsidP="00B2260E">
      <w:pPr>
        <w:pStyle w:val="FootnoteText"/>
        <w:rPr>
          <w:lang w:val="en-IE"/>
        </w:rPr>
      </w:pPr>
      <w:r>
        <w:rPr>
          <w:rStyle w:val="FootnoteReference"/>
        </w:rPr>
        <w:footnoteRef/>
      </w:r>
      <w:r>
        <w:t xml:space="preserve"> </w:t>
      </w:r>
      <w:r>
        <w:tab/>
      </w:r>
      <w:r w:rsidRPr="0024785C">
        <w:rPr>
          <w:lang w:val="en-IE"/>
        </w:rPr>
        <w:t>Spanish Government (2026), written input, p</w:t>
      </w:r>
      <w:r>
        <w:rPr>
          <w:lang w:val="en-IE"/>
        </w:rPr>
        <w:t>p</w:t>
      </w:r>
      <w:r w:rsidRPr="0024785C">
        <w:rPr>
          <w:lang w:val="en-IE"/>
        </w:rPr>
        <w:t>.</w:t>
      </w:r>
      <w:r>
        <w:rPr>
          <w:lang w:val="en-IE"/>
        </w:rPr>
        <w:t xml:space="preserve"> 22-23;</w:t>
      </w:r>
      <w:r w:rsidRPr="0024785C">
        <w:rPr>
          <w:lang w:val="en-IE"/>
        </w:rPr>
        <w:t xml:space="preserve"> country visit Spain, Government.</w:t>
      </w:r>
    </w:p>
  </w:footnote>
  <w:footnote w:id="127">
    <w:p w14:paraId="26BCD6F9" w14:textId="77777777" w:rsidR="00933ED2" w:rsidRPr="00E76E84" w:rsidRDefault="00933ED2" w:rsidP="00B2260E">
      <w:pPr>
        <w:pStyle w:val="FootnoteText"/>
      </w:pPr>
      <w:r>
        <w:rPr>
          <w:rStyle w:val="FootnoteReference"/>
        </w:rPr>
        <w:footnoteRef/>
      </w:r>
      <w:r>
        <w:t xml:space="preserve"> </w:t>
      </w:r>
      <w:r>
        <w:tab/>
        <w:t xml:space="preserve">AIPI (2026), written input, pp. 6-7. </w:t>
      </w:r>
    </w:p>
  </w:footnote>
  <w:footnote w:id="128">
    <w:p w14:paraId="358FC7B4" w14:textId="77777777" w:rsidR="00933ED2" w:rsidRPr="00D775D1" w:rsidRDefault="00933ED2" w:rsidP="00B2260E">
      <w:pPr>
        <w:pStyle w:val="FootnoteText"/>
      </w:pPr>
      <w:r>
        <w:rPr>
          <w:rStyle w:val="FootnoteReference"/>
        </w:rPr>
        <w:footnoteRef/>
      </w:r>
      <w:r>
        <w:t xml:space="preserve"> </w:t>
      </w:r>
      <w:r>
        <w:tab/>
      </w:r>
      <w:r w:rsidRPr="00D775D1">
        <w:t>Catalonia, Galicia, Andalusia, the Valencian Community, Castilla-La Mancha, the Chartered Community of Navarre, the Community of Madrid, and Castilla y León</w:t>
      </w:r>
      <w:r>
        <w:t>.</w:t>
      </w:r>
    </w:p>
  </w:footnote>
  <w:footnote w:id="129">
    <w:p w14:paraId="67ED1589" w14:textId="4A86C0D9" w:rsidR="00933ED2" w:rsidRPr="00E76E84" w:rsidRDefault="00933ED2" w:rsidP="00B2260E">
      <w:pPr>
        <w:pStyle w:val="FootnoteText"/>
      </w:pPr>
      <w:r>
        <w:rPr>
          <w:rStyle w:val="FootnoteReference"/>
        </w:rPr>
        <w:footnoteRef/>
      </w:r>
      <w:r>
        <w:t xml:space="preserve"> </w:t>
      </w:r>
      <w:r>
        <w:tab/>
        <w:t xml:space="preserve">AIPI (2026), written input, p. 8. </w:t>
      </w:r>
      <w:r w:rsidRPr="00552318">
        <w:t xml:space="preserve">The AIPI notes that further regulatory changes to improve the follow-up mechanisms to filed reports would be also desirable; some have been incorporated in the </w:t>
      </w:r>
      <w:r w:rsidR="00542B78">
        <w:t xml:space="preserve">preliminary </w:t>
      </w:r>
      <w:r>
        <w:t>d</w:t>
      </w:r>
      <w:r w:rsidRPr="00552318">
        <w:t>raft Organic Law on Public Integrity, which is undergoing public consultation and will be subject to a parliamentary debate.</w:t>
      </w:r>
      <w:r>
        <w:t xml:space="preserve"> AIPI (2026), written input, p. 5.</w:t>
      </w:r>
    </w:p>
  </w:footnote>
  <w:footnote w:id="130">
    <w:p w14:paraId="0D601E1C" w14:textId="6815B19B" w:rsidR="00933ED2" w:rsidRPr="00D252DF" w:rsidRDefault="00933ED2" w:rsidP="00B2260E">
      <w:pPr>
        <w:pStyle w:val="FootnoteText"/>
      </w:pPr>
      <w:r>
        <w:rPr>
          <w:rStyle w:val="FootnoteReference"/>
        </w:rPr>
        <w:footnoteRef/>
      </w:r>
      <w:r>
        <w:t xml:space="preserve"> </w:t>
      </w:r>
      <w:r>
        <w:tab/>
        <w:t>Civil society research revealed inter alia insufficient financial and psychological support services for whistleblowers and inadequate technical safeguards to guarantee anonymity. Liberties Rule of Law Report</w:t>
      </w:r>
      <w:r w:rsidR="00442601">
        <w:t>, X-Net</w:t>
      </w:r>
      <w:r w:rsidR="001572C3">
        <w:t>,</w:t>
      </w:r>
      <w:r>
        <w:t xml:space="preserve"> (2026), p. 19.</w:t>
      </w:r>
    </w:p>
  </w:footnote>
  <w:footnote w:id="131">
    <w:p w14:paraId="3B6FDCE2" w14:textId="77777777" w:rsidR="00933ED2" w:rsidRPr="0024785C" w:rsidRDefault="00933ED2" w:rsidP="00B2260E">
      <w:pPr>
        <w:pStyle w:val="FootnoteText"/>
        <w:rPr>
          <w:lang w:val="en-IE"/>
        </w:rPr>
      </w:pPr>
      <w:r w:rsidRPr="0024785C">
        <w:rPr>
          <w:rStyle w:val="FootnoteReference"/>
          <w:lang w:val="en-IE"/>
        </w:rPr>
        <w:footnoteRef/>
      </w:r>
      <w:r w:rsidRPr="0024785C">
        <w:rPr>
          <w:lang w:val="en-IE"/>
        </w:rPr>
        <w:t xml:space="preserve"> </w:t>
      </w:r>
      <w:r w:rsidRPr="0024785C">
        <w:rPr>
          <w:lang w:val="en-IE"/>
        </w:rPr>
        <w:tab/>
      </w:r>
      <w:r w:rsidRPr="000471A4">
        <w:rPr>
          <w:lang w:val="en-IE"/>
        </w:rPr>
        <w:t xml:space="preserve">Flash Eurobarometer </w:t>
      </w:r>
      <w:r>
        <w:rPr>
          <w:lang w:val="en-IE"/>
        </w:rPr>
        <w:t xml:space="preserve">582 </w:t>
      </w:r>
      <w:r w:rsidRPr="000471A4">
        <w:rPr>
          <w:lang w:val="en-IE"/>
        </w:rPr>
        <w:t>on Businesses’ attitudes towards corruption in the EU (202</w:t>
      </w:r>
      <w:r>
        <w:rPr>
          <w:lang w:val="en-IE"/>
        </w:rPr>
        <w:t>6</w:t>
      </w:r>
      <w:r w:rsidRPr="000471A4">
        <w:rPr>
          <w:lang w:val="en-IE"/>
        </w:rPr>
        <w:t xml:space="preserve">). This is </w:t>
      </w:r>
      <w:r w:rsidRPr="0062478F">
        <w:rPr>
          <w:lang w:val="en-IE"/>
        </w:rPr>
        <w:t xml:space="preserve">10 </w:t>
      </w:r>
      <w:r w:rsidRPr="000471A4">
        <w:rPr>
          <w:lang w:val="en-IE"/>
        </w:rPr>
        <w:t>percentage points</w:t>
      </w:r>
      <w:r w:rsidRPr="0062478F">
        <w:rPr>
          <w:lang w:val="en-IE"/>
        </w:rPr>
        <w:t xml:space="preserve"> </w:t>
      </w:r>
      <w:r w:rsidRPr="0062478F">
        <w:t>below</w:t>
      </w:r>
      <w:r w:rsidRPr="0062478F">
        <w:rPr>
          <w:lang w:val="en-IE"/>
        </w:rPr>
        <w:t xml:space="preserve"> </w:t>
      </w:r>
      <w:r w:rsidRPr="000471A4">
        <w:rPr>
          <w:lang w:val="en-IE"/>
        </w:rPr>
        <w:t>the EU average.</w:t>
      </w:r>
    </w:p>
  </w:footnote>
  <w:footnote w:id="132">
    <w:p w14:paraId="4D79933B" w14:textId="7B245561" w:rsidR="00933ED2" w:rsidRPr="0062478F" w:rsidRDefault="00933ED2" w:rsidP="00B2260E">
      <w:pPr>
        <w:pStyle w:val="FootnoteText"/>
        <w:rPr>
          <w:lang w:val="en-IE"/>
        </w:rPr>
      </w:pPr>
      <w:r>
        <w:rPr>
          <w:rStyle w:val="FootnoteReference"/>
        </w:rPr>
        <w:footnoteRef/>
      </w:r>
      <w:r w:rsidRPr="0062478F">
        <w:rPr>
          <w:lang w:val="en-IE"/>
        </w:rPr>
        <w:t xml:space="preserve"> </w:t>
      </w:r>
      <w:r w:rsidRPr="0062478F">
        <w:rPr>
          <w:lang w:val="en-IE"/>
        </w:rPr>
        <w:tab/>
        <w:t xml:space="preserve">Figure </w:t>
      </w:r>
      <w:r w:rsidRPr="00CC38D6">
        <w:rPr>
          <w:lang w:val="en-IE"/>
        </w:rPr>
        <w:t>59</w:t>
      </w:r>
      <w:r w:rsidRPr="0062478F">
        <w:rPr>
          <w:lang w:val="en-IE"/>
        </w:rPr>
        <w:t>, 2026 EU Justice Scoreboard</w:t>
      </w:r>
      <w:r w:rsidR="00DB0C3A">
        <w:rPr>
          <w:lang w:val="en-IE"/>
        </w:rPr>
        <w:t>.</w:t>
      </w:r>
      <w:r>
        <w:rPr>
          <w:lang w:val="en-IE"/>
        </w:rPr>
        <w:t xml:space="preserve"> </w:t>
      </w:r>
    </w:p>
  </w:footnote>
  <w:footnote w:id="133">
    <w:p w14:paraId="4C122310" w14:textId="77777777" w:rsidR="00933ED2" w:rsidRPr="00267939" w:rsidRDefault="00933ED2" w:rsidP="00B2260E">
      <w:pPr>
        <w:pStyle w:val="FootnoteText"/>
      </w:pPr>
      <w:r>
        <w:rPr>
          <w:rStyle w:val="FootnoteReference"/>
        </w:rPr>
        <w:footnoteRef/>
      </w:r>
      <w:r>
        <w:t xml:space="preserve"> </w:t>
      </w:r>
      <w:r>
        <w:tab/>
        <w:t>Liberties Rule of Law Report 2026, p. 17.</w:t>
      </w:r>
    </w:p>
  </w:footnote>
  <w:footnote w:id="134">
    <w:p w14:paraId="6ED7F47A" w14:textId="77777777" w:rsidR="00933ED2" w:rsidRPr="00467CCB" w:rsidRDefault="00933ED2" w:rsidP="00B2260E">
      <w:pPr>
        <w:pStyle w:val="FootnoteText"/>
        <w:rPr>
          <w:lang w:val="en-IE"/>
        </w:rPr>
      </w:pPr>
      <w:r>
        <w:rPr>
          <w:rStyle w:val="FootnoteReference"/>
        </w:rPr>
        <w:footnoteRef/>
      </w:r>
      <w:r w:rsidRPr="00467CCB">
        <w:rPr>
          <w:lang w:val="en-IE"/>
        </w:rPr>
        <w:t xml:space="preserve"> </w:t>
      </w:r>
      <w:r>
        <w:rPr>
          <w:lang w:val="en-IE"/>
        </w:rPr>
        <w:tab/>
        <w:t xml:space="preserve">The Committee </w:t>
      </w:r>
      <w:r w:rsidRPr="00772558">
        <w:rPr>
          <w:i/>
          <w:lang w:val="en-IE"/>
        </w:rPr>
        <w:t>(Comité de Cooperación en materia de contratación pública)</w:t>
      </w:r>
      <w:r>
        <w:rPr>
          <w:lang w:val="en-IE"/>
        </w:rPr>
        <w:t xml:space="preserve"> has been</w:t>
      </w:r>
      <w:r w:rsidRPr="00467CCB">
        <w:rPr>
          <w:lang w:val="en-IE"/>
        </w:rPr>
        <w:t xml:space="preserve"> tasked with coordinat</w:t>
      </w:r>
      <w:r>
        <w:rPr>
          <w:lang w:val="en-IE"/>
        </w:rPr>
        <w:t>ing</w:t>
      </w:r>
      <w:r w:rsidRPr="00467CCB">
        <w:rPr>
          <w:lang w:val="en-IE"/>
        </w:rPr>
        <w:t xml:space="preserve"> and harmoni</w:t>
      </w:r>
      <w:r>
        <w:rPr>
          <w:lang w:val="en-IE"/>
        </w:rPr>
        <w:t>sing</w:t>
      </w:r>
      <w:r w:rsidRPr="00467CCB">
        <w:rPr>
          <w:lang w:val="en-IE"/>
        </w:rPr>
        <w:t xml:space="preserve"> public procurement policy across different levels of </w:t>
      </w:r>
      <w:r>
        <w:rPr>
          <w:lang w:val="en-IE"/>
        </w:rPr>
        <w:t>G</w:t>
      </w:r>
      <w:r w:rsidRPr="00467CCB">
        <w:rPr>
          <w:lang w:val="en-IE"/>
        </w:rPr>
        <w:t>overnment in Spain</w:t>
      </w:r>
      <w:r>
        <w:rPr>
          <w:lang w:val="en-IE"/>
        </w:rPr>
        <w:t>.</w:t>
      </w:r>
    </w:p>
  </w:footnote>
  <w:footnote w:id="135">
    <w:p w14:paraId="6DCADA16" w14:textId="77777777" w:rsidR="00933ED2" w:rsidRPr="00267939" w:rsidRDefault="00933ED2" w:rsidP="00B2260E">
      <w:pPr>
        <w:pStyle w:val="FootnoteText"/>
      </w:pPr>
      <w:r>
        <w:rPr>
          <w:rStyle w:val="FootnoteReference"/>
        </w:rPr>
        <w:footnoteRef/>
      </w:r>
      <w:r>
        <w:t xml:space="preserve"> </w:t>
      </w:r>
      <w:r>
        <w:tab/>
      </w:r>
      <w:r w:rsidRPr="0024785C">
        <w:rPr>
          <w:lang w:val="en-IE"/>
        </w:rPr>
        <w:t>Spanish Government (2026), written input,</w:t>
      </w:r>
      <w:r>
        <w:rPr>
          <w:lang w:val="en-IE"/>
        </w:rPr>
        <w:t xml:space="preserve"> p. 24.</w:t>
      </w:r>
    </w:p>
  </w:footnote>
  <w:footnote w:id="136">
    <w:p w14:paraId="1A1D823E" w14:textId="77777777" w:rsidR="00933ED2" w:rsidRPr="00EA3534" w:rsidRDefault="00933ED2" w:rsidP="00B2260E">
      <w:pPr>
        <w:pStyle w:val="FootnoteText"/>
      </w:pPr>
      <w:r>
        <w:rPr>
          <w:rStyle w:val="FootnoteReference"/>
        </w:rPr>
        <w:footnoteRef/>
      </w:r>
      <w:r>
        <w:t xml:space="preserve"> </w:t>
      </w:r>
      <w:r>
        <w:tab/>
        <w:t xml:space="preserve">Service contracts represent </w:t>
      </w:r>
      <w:r w:rsidRPr="009643D9">
        <w:t>48% of reported corruption-related complaints</w:t>
      </w:r>
      <w:r>
        <w:t xml:space="preserve">. </w:t>
      </w:r>
      <w:r w:rsidRPr="00D775D1">
        <w:t>The main causes of complaints are alleged corrupt practices (25%), breach of legal provisions (24%), artificial splitting of contracts (13%) and award irregularities (11%)</w:t>
      </w:r>
      <w:r>
        <w:t xml:space="preserve">. Annual Report of </w:t>
      </w:r>
      <w:r w:rsidRPr="00EA3534">
        <w:t>the Independent Office on Supervision of Public Procurement</w:t>
      </w:r>
      <w:r>
        <w:t xml:space="preserve"> (2025), p. 13.</w:t>
      </w:r>
    </w:p>
  </w:footnote>
  <w:footnote w:id="137">
    <w:p w14:paraId="791A4EED" w14:textId="0DC031FF" w:rsidR="00933ED2" w:rsidRPr="00EA3534" w:rsidRDefault="00933ED2" w:rsidP="00B2260E">
      <w:pPr>
        <w:pStyle w:val="FootnoteText"/>
      </w:pPr>
      <w:r>
        <w:rPr>
          <w:rStyle w:val="FootnoteReference"/>
        </w:rPr>
        <w:footnoteRef/>
      </w:r>
      <w:r w:rsidRPr="00EA3534">
        <w:t xml:space="preserve"> </w:t>
      </w:r>
      <w:r>
        <w:tab/>
      </w:r>
      <w:r w:rsidRPr="00EA3534">
        <w:t>Independent Office on Supervision of Public Procurement</w:t>
      </w:r>
      <w:r>
        <w:t xml:space="preserve"> (2025), Annual report,</w:t>
      </w:r>
      <w:r w:rsidR="00AA3DC6">
        <w:t xml:space="preserve"> Conclusions and Recommendations</w:t>
      </w:r>
      <w:r w:rsidR="002A6695">
        <w:t>,</w:t>
      </w:r>
      <w:r>
        <w:t xml:space="preserve"> pp. 24-</w:t>
      </w:r>
      <w:r w:rsidR="004372C3">
        <w:t>32</w:t>
      </w:r>
      <w:r>
        <w:t>.</w:t>
      </w:r>
    </w:p>
  </w:footnote>
  <w:footnote w:id="138">
    <w:p w14:paraId="0152C21A" w14:textId="77777777" w:rsidR="00933ED2" w:rsidRPr="006F096D" w:rsidRDefault="00933ED2" w:rsidP="00B2260E">
      <w:pPr>
        <w:pStyle w:val="FootnoteText"/>
      </w:pPr>
      <w:r>
        <w:rPr>
          <w:rStyle w:val="FootnoteReference"/>
        </w:rPr>
        <w:footnoteRef/>
      </w:r>
      <w:r>
        <w:t xml:space="preserve"> </w:t>
      </w:r>
      <w:r>
        <w:tab/>
        <w:t>Foundatio</w:t>
      </w:r>
      <w:r w:rsidRPr="009634A0">
        <w:t xml:space="preserve">n </w:t>
      </w:r>
      <w:r w:rsidRPr="00D82ACE">
        <w:t>Hay Derecho (2026), written input, p. 5.</w:t>
      </w:r>
    </w:p>
  </w:footnote>
  <w:footnote w:id="139">
    <w:p w14:paraId="5EED176A" w14:textId="77777777" w:rsidR="00933ED2" w:rsidRPr="00FD4DBF" w:rsidRDefault="00933ED2" w:rsidP="00B2260E">
      <w:pPr>
        <w:pStyle w:val="FootnoteText"/>
      </w:pPr>
      <w:r w:rsidRPr="00FD4DBF">
        <w:rPr>
          <w:rStyle w:val="FootnoteReference"/>
        </w:rPr>
        <w:footnoteRef/>
      </w:r>
      <w:r w:rsidRPr="00FD4DBF">
        <w:t xml:space="preserve"> </w:t>
      </w:r>
      <w:r w:rsidRPr="00FD4DBF">
        <w:tab/>
        <w:t>Draft Law for the Improvement of Democratic Governance in Digital Services and the Media. This law will adapt the Spanish legislation to both Regulation (EU) 2024/1083 of the European Parliament and of the Council of 11 April 2024 establishing a common framework for media services in the internal market and amending Directive 2010/13/EU (European Media Freedom Act</w:t>
      </w:r>
      <w:r>
        <w:t>)</w:t>
      </w:r>
      <w:r w:rsidRPr="00FD4DBF">
        <w:t xml:space="preserve"> </w:t>
      </w:r>
      <w:r>
        <w:t xml:space="preserve">and </w:t>
      </w:r>
      <w:r w:rsidRPr="00FD4DBF">
        <w:t>Regulation (EU) 2022/2065 of the European Parliament and of the Council of 19 October 2022 on a Single Market For Digital Services and amending Directive 2000/31/EC (Digital Services Act)</w:t>
      </w:r>
      <w:r>
        <w:t>.</w:t>
      </w:r>
    </w:p>
  </w:footnote>
  <w:footnote w:id="140">
    <w:p w14:paraId="48A831A6" w14:textId="77777777" w:rsidR="00933ED2" w:rsidRPr="00FD4DBF" w:rsidRDefault="00933ED2" w:rsidP="00B2260E">
      <w:pPr>
        <w:pStyle w:val="FootnoteText"/>
      </w:pPr>
      <w:r w:rsidRPr="00FD4DBF">
        <w:rPr>
          <w:rStyle w:val="FootnoteReference"/>
        </w:rPr>
        <w:footnoteRef/>
      </w:r>
      <w:r w:rsidRPr="00FD4DBF">
        <w:tab/>
        <w:t xml:space="preserve">Spanish Government (2026), </w:t>
      </w:r>
      <w:r>
        <w:t xml:space="preserve">written input, </w:t>
      </w:r>
      <w:r w:rsidRPr="00FD4DBF">
        <w:t>pp. 31-33.</w:t>
      </w:r>
      <w:r w:rsidRPr="00FD4DBF">
        <w:tab/>
      </w:r>
    </w:p>
  </w:footnote>
  <w:footnote w:id="141">
    <w:p w14:paraId="77858112" w14:textId="77777777" w:rsidR="00933ED2" w:rsidRPr="00FD4DBF" w:rsidRDefault="00933ED2" w:rsidP="00B2260E">
      <w:pPr>
        <w:pStyle w:val="FootnoteText"/>
      </w:pPr>
      <w:r w:rsidRPr="00FD4DBF">
        <w:rPr>
          <w:rStyle w:val="FootnoteReference"/>
        </w:rPr>
        <w:footnoteRef/>
      </w:r>
      <w:r w:rsidRPr="00FD4DBF">
        <w:tab/>
        <w:t>Country visit Spain, Spanish Government.</w:t>
      </w:r>
      <w:r w:rsidRPr="00FD4DBF">
        <w:tab/>
      </w:r>
    </w:p>
  </w:footnote>
  <w:footnote w:id="142">
    <w:p w14:paraId="57B59296" w14:textId="77777777" w:rsidR="00933ED2" w:rsidRPr="00B3059C" w:rsidRDefault="00933ED2" w:rsidP="00B2260E">
      <w:pPr>
        <w:pStyle w:val="FootnoteText"/>
      </w:pPr>
      <w:r>
        <w:rPr>
          <w:rStyle w:val="FootnoteReference"/>
        </w:rPr>
        <w:footnoteRef/>
      </w:r>
      <w:r>
        <w:tab/>
      </w:r>
      <w:r w:rsidRPr="00B3059C">
        <w:t>The CNMC was designated as Spain's Digital Services Coordinator on 24 January 2024</w:t>
      </w:r>
      <w:r>
        <w:t>.</w:t>
      </w:r>
    </w:p>
  </w:footnote>
  <w:footnote w:id="143">
    <w:p w14:paraId="6BC578DA" w14:textId="753F1306" w:rsidR="00933ED2" w:rsidRPr="00900CB9" w:rsidRDefault="00933ED2" w:rsidP="00B2260E">
      <w:pPr>
        <w:pStyle w:val="FootnoteText"/>
        <w:rPr>
          <w:lang w:val="en-IE"/>
        </w:rPr>
      </w:pPr>
      <w:r>
        <w:rPr>
          <w:rStyle w:val="FootnoteReference"/>
        </w:rPr>
        <w:footnoteRef/>
      </w:r>
      <w:r>
        <w:t xml:space="preserve"> </w:t>
      </w:r>
      <w:r>
        <w:tab/>
      </w:r>
      <w:r w:rsidRPr="3CEE63A7">
        <w:t>Country visit Spain, CNMC; European Federation of Journalists (2026), written input, p. 17; International Press Institute (2026), written input, pp. 15-16; Asociación Impulso Ciudadano (2026), written input, p.</w:t>
      </w:r>
      <w:r>
        <w:t xml:space="preserve"> </w:t>
      </w:r>
      <w:r w:rsidRPr="3CEE63A7">
        <w:t xml:space="preserve">2; </w:t>
      </w:r>
      <w:r w:rsidR="00BB143F" w:rsidRPr="00BB143F">
        <w:t>International Press Institute (2025)</w:t>
      </w:r>
      <w:r w:rsidRPr="3CEE63A7">
        <w:t>, pp. 5-6.</w:t>
      </w:r>
    </w:p>
  </w:footnote>
  <w:footnote w:id="144">
    <w:p w14:paraId="11BA46C6" w14:textId="77777777" w:rsidR="00933ED2" w:rsidRPr="00FD4DBF" w:rsidRDefault="00933ED2" w:rsidP="00B2260E">
      <w:pPr>
        <w:pStyle w:val="FootnoteText"/>
      </w:pPr>
      <w:r w:rsidRPr="00FD4DBF">
        <w:rPr>
          <w:rStyle w:val="FootnoteReference"/>
        </w:rPr>
        <w:footnoteRef/>
      </w:r>
      <w:r w:rsidRPr="00FD4DBF">
        <w:t xml:space="preserve"> </w:t>
      </w:r>
      <w:r w:rsidRPr="00FD4DBF">
        <w:tab/>
        <w:t>Media Pluralism Monitor (202</w:t>
      </w:r>
      <w:r>
        <w:t>6</w:t>
      </w:r>
      <w:r w:rsidRPr="00FD4DBF">
        <w:t xml:space="preserve">), country report for Spain, p. </w:t>
      </w:r>
      <w:r>
        <w:t>22</w:t>
      </w:r>
      <w:r w:rsidRPr="00FD4DBF">
        <w:t>.</w:t>
      </w:r>
    </w:p>
  </w:footnote>
  <w:footnote w:id="145">
    <w:p w14:paraId="3239CBE8" w14:textId="77777777" w:rsidR="00933ED2" w:rsidRPr="00FD4DBF" w:rsidRDefault="00933ED2" w:rsidP="00B2260E">
      <w:pPr>
        <w:pStyle w:val="FootnoteText"/>
      </w:pPr>
      <w:r w:rsidRPr="00FD4DBF">
        <w:rPr>
          <w:rStyle w:val="FootnoteReference"/>
        </w:rPr>
        <w:footnoteRef/>
      </w:r>
      <w:r w:rsidRPr="00FD4DBF">
        <w:t xml:space="preserve"> </w:t>
      </w:r>
      <w:r w:rsidRPr="00FD4DBF">
        <w:tab/>
        <w:t>Media Pluralism Monitor (202</w:t>
      </w:r>
      <w:r>
        <w:t>6</w:t>
      </w:r>
      <w:r w:rsidRPr="00FD4DBF">
        <w:t xml:space="preserve">), country report for Spain, p. </w:t>
      </w:r>
      <w:r>
        <w:t>18</w:t>
      </w:r>
      <w:r w:rsidRPr="00FD4DBF">
        <w:t>.</w:t>
      </w:r>
    </w:p>
  </w:footnote>
  <w:footnote w:id="146">
    <w:p w14:paraId="6E506309" w14:textId="77777777" w:rsidR="00933ED2" w:rsidRPr="00FD4DBF" w:rsidRDefault="00933ED2" w:rsidP="00B2260E">
      <w:pPr>
        <w:pStyle w:val="FootnoteText"/>
      </w:pPr>
      <w:r w:rsidRPr="00FD4DBF">
        <w:rPr>
          <w:rStyle w:val="FootnoteReference"/>
        </w:rPr>
        <w:footnoteRef/>
      </w:r>
      <w:r w:rsidRPr="00FD4DBF">
        <w:tab/>
      </w:r>
      <w:r>
        <w:t xml:space="preserve">Country visit Spain, CNCM; </w:t>
      </w:r>
      <w:r w:rsidRPr="00FD4DBF">
        <w:t>Spanish Government</w:t>
      </w:r>
      <w:r>
        <w:t xml:space="preserve"> (2026a), written input</w:t>
      </w:r>
      <w:r w:rsidRPr="00FD4DBF">
        <w:t>.</w:t>
      </w:r>
      <w:r w:rsidRPr="00FD4DBF">
        <w:tab/>
      </w:r>
    </w:p>
  </w:footnote>
  <w:footnote w:id="147">
    <w:p w14:paraId="1CF455B8" w14:textId="77777777" w:rsidR="00933ED2" w:rsidRPr="00FD4DBF" w:rsidRDefault="00933ED2" w:rsidP="00B2260E">
      <w:pPr>
        <w:pStyle w:val="FootnoteText"/>
      </w:pPr>
      <w:r w:rsidRPr="00FD4DBF">
        <w:rPr>
          <w:rStyle w:val="FootnoteReference"/>
        </w:rPr>
        <w:footnoteRef/>
      </w:r>
      <w:r w:rsidRPr="00FD4DBF">
        <w:tab/>
        <w:t>Spanish Government</w:t>
      </w:r>
      <w:r>
        <w:t xml:space="preserve"> (2026a), written input</w:t>
      </w:r>
      <w:r w:rsidRPr="00FD4DBF">
        <w:t>.</w:t>
      </w:r>
      <w:r w:rsidRPr="00FD4DBF">
        <w:tab/>
      </w:r>
    </w:p>
  </w:footnote>
  <w:footnote w:id="148">
    <w:p w14:paraId="64893AA6" w14:textId="77777777" w:rsidR="00933ED2" w:rsidRPr="00FD4DBF" w:rsidRDefault="00933ED2" w:rsidP="00B2260E">
      <w:pPr>
        <w:pStyle w:val="FootnoteText"/>
      </w:pPr>
      <w:r w:rsidRPr="00FD4DBF">
        <w:rPr>
          <w:rStyle w:val="FootnoteReference"/>
        </w:rPr>
        <w:footnoteRef/>
      </w:r>
      <w:r w:rsidRPr="00FD4DBF">
        <w:t xml:space="preserve"> </w:t>
      </w:r>
      <w:r w:rsidRPr="00FD4DBF">
        <w:tab/>
        <w:t xml:space="preserve">Royal Decree-Law 5/2024, of 22 October, amending Law 17/2006, of 5 June, on state-owned radio and television, to adopt urgent measures relating to the legal regime applicable to the RTVE Corporation. The </w:t>
      </w:r>
      <w:r>
        <w:t xml:space="preserve">Royal </w:t>
      </w:r>
      <w:r w:rsidRPr="00FD4DBF">
        <w:t>Decree</w:t>
      </w:r>
      <w:r>
        <w:t>-</w:t>
      </w:r>
      <w:r w:rsidRPr="00FD4DBF">
        <w:t xml:space="preserve">Law was adopted by Government and subsequently </w:t>
      </w:r>
      <w:r>
        <w:t>validated</w:t>
      </w:r>
      <w:r w:rsidRPr="00FD4DBF">
        <w:t xml:space="preserve"> by </w:t>
      </w:r>
      <w:r>
        <w:t>Congress</w:t>
      </w:r>
      <w:r w:rsidRPr="00FD4DBF">
        <w:t>.</w:t>
      </w:r>
    </w:p>
  </w:footnote>
  <w:footnote w:id="149">
    <w:p w14:paraId="1AB0AE0D" w14:textId="792BB2C1" w:rsidR="00933ED2" w:rsidRPr="00A12181" w:rsidRDefault="00933ED2" w:rsidP="00B2260E">
      <w:pPr>
        <w:pStyle w:val="FootnoteText"/>
        <w:rPr>
          <w:lang w:val="en-IE"/>
        </w:rPr>
      </w:pPr>
      <w:r w:rsidRPr="00FD4DBF">
        <w:rPr>
          <w:rStyle w:val="FootnoteReference"/>
        </w:rPr>
        <w:footnoteRef/>
      </w:r>
      <w:r w:rsidRPr="00A12181">
        <w:rPr>
          <w:lang w:val="en-IE"/>
        </w:rPr>
        <w:t xml:space="preserve"> </w:t>
      </w:r>
      <w:r w:rsidR="007D4E32" w:rsidRPr="00A12181">
        <w:rPr>
          <w:lang w:val="en-IE"/>
        </w:rPr>
        <w:tab/>
      </w:r>
      <w:r w:rsidRPr="00A12181">
        <w:rPr>
          <w:lang w:val="en-IE"/>
        </w:rPr>
        <w:t xml:space="preserve">Law 2/2024 of 27 June on the Corporació Audiovisual de la Comunitat Valenciana (CACVSA). Foundation Hay Derecho (2026a), written input, p. 52; Asociación Impulso Ciudadano (2026), written input, pp. 1-2; International Press Institute (2026), written input, pp. 19-20; </w:t>
      </w:r>
      <w:r w:rsidR="005A1EE1" w:rsidRPr="00A12181">
        <w:rPr>
          <w:lang w:val="en-IE"/>
        </w:rPr>
        <w:t>Platform for the Defence of Freedom of Information (2026)</w:t>
      </w:r>
      <w:r w:rsidRPr="00A12181">
        <w:rPr>
          <w:lang w:val="en-IE"/>
        </w:rPr>
        <w:t>, p. 4.</w:t>
      </w:r>
    </w:p>
  </w:footnote>
  <w:footnote w:id="150">
    <w:p w14:paraId="0711E498" w14:textId="77777777" w:rsidR="00933ED2" w:rsidRPr="00CC38D6" w:rsidRDefault="00933ED2" w:rsidP="00B2260E">
      <w:pPr>
        <w:pStyle w:val="FootnoteText"/>
        <w:rPr>
          <w:lang w:val="en-IE"/>
        </w:rPr>
      </w:pPr>
      <w:r w:rsidRPr="00FD4DBF">
        <w:rPr>
          <w:rStyle w:val="FootnoteReference"/>
        </w:rPr>
        <w:footnoteRef/>
      </w:r>
      <w:r w:rsidRPr="00CC38D6">
        <w:rPr>
          <w:lang w:val="en-IE"/>
        </w:rPr>
        <w:t xml:space="preserve"> </w:t>
      </w:r>
      <w:r w:rsidRPr="00CC38D6">
        <w:rPr>
          <w:lang w:val="en-IE"/>
        </w:rPr>
        <w:tab/>
        <w:t xml:space="preserve">Spanish Government (2026), </w:t>
      </w:r>
      <w:r>
        <w:rPr>
          <w:lang w:val="en-IE"/>
        </w:rPr>
        <w:t>written input</w:t>
      </w:r>
      <w:r w:rsidRPr="00CC38D6">
        <w:rPr>
          <w:lang w:val="en-IE"/>
        </w:rPr>
        <w:t>, p. 33.</w:t>
      </w:r>
      <w:r w:rsidRPr="00CC38D6">
        <w:rPr>
          <w:lang w:val="en-IE"/>
        </w:rPr>
        <w:tab/>
      </w:r>
    </w:p>
  </w:footnote>
  <w:footnote w:id="151">
    <w:p w14:paraId="547B53B7" w14:textId="091815DB" w:rsidR="00933ED2" w:rsidRPr="00CC38D6" w:rsidRDefault="00933ED2" w:rsidP="00B2260E">
      <w:pPr>
        <w:pStyle w:val="FootnoteText"/>
        <w:rPr>
          <w:lang w:val="en-IE"/>
        </w:rPr>
      </w:pPr>
      <w:r w:rsidRPr="00FD4DBF">
        <w:rPr>
          <w:rStyle w:val="FootnoteReference"/>
        </w:rPr>
        <w:footnoteRef/>
      </w:r>
      <w:r w:rsidRPr="00CC38D6">
        <w:rPr>
          <w:lang w:val="en-IE"/>
        </w:rPr>
        <w:t xml:space="preserve"> </w:t>
      </w:r>
      <w:r w:rsidRPr="00CC38D6">
        <w:rPr>
          <w:lang w:val="en-IE"/>
        </w:rPr>
        <w:tab/>
      </w:r>
      <w:r w:rsidR="000C53DF">
        <w:rPr>
          <w:lang w:val="en-IE"/>
        </w:rPr>
        <w:t xml:space="preserve">In their views, risks </w:t>
      </w:r>
      <w:r>
        <w:rPr>
          <w:lang w:val="en-IE"/>
        </w:rPr>
        <w:t xml:space="preserve">were </w:t>
      </w:r>
      <w:r w:rsidRPr="00027335">
        <w:rPr>
          <w:lang w:val="en-IE"/>
        </w:rPr>
        <w:t>deriving, among other reasons, from the lack of a merit-based competition</w:t>
      </w:r>
      <w:r>
        <w:rPr>
          <w:lang w:val="en-IE"/>
        </w:rPr>
        <w:t>.</w:t>
      </w:r>
      <w:r w:rsidRPr="00027335">
        <w:rPr>
          <w:lang w:val="en-IE"/>
        </w:rPr>
        <w:t xml:space="preserve"> </w:t>
      </w:r>
      <w:r w:rsidRPr="00CC38D6">
        <w:rPr>
          <w:lang w:val="en-IE"/>
        </w:rPr>
        <w:t xml:space="preserve">Country visit Spain, </w:t>
      </w:r>
      <w:r w:rsidR="00D31095" w:rsidRPr="00933ED2">
        <w:rPr>
          <w:lang w:eastAsia="en-GB"/>
        </w:rPr>
        <w:t xml:space="preserve">News Council of </w:t>
      </w:r>
      <w:r w:rsidRPr="00CC38D6">
        <w:rPr>
          <w:lang w:val="en-IE"/>
        </w:rPr>
        <w:t xml:space="preserve">RTVE, Journalists’ Associations; European Federation of Journalists (2026), written input, p. 18; International Press Institute (2026), written input, p. 17; Asociación Impulso Ciudadano (2026), written input, pp. 3-4; </w:t>
      </w:r>
      <w:r>
        <w:rPr>
          <w:lang w:val="en-IE"/>
        </w:rPr>
        <w:t xml:space="preserve">Foundation </w:t>
      </w:r>
      <w:r w:rsidRPr="00CC38D6">
        <w:rPr>
          <w:lang w:val="en-IE"/>
        </w:rPr>
        <w:t>Hay Derecho (2026</w:t>
      </w:r>
      <w:r>
        <w:rPr>
          <w:lang w:val="en-IE"/>
        </w:rPr>
        <w:t>a</w:t>
      </w:r>
      <w:r w:rsidRPr="00CC38D6">
        <w:rPr>
          <w:lang w:val="en-IE"/>
        </w:rPr>
        <w:t xml:space="preserve">), written input, p. 51; </w:t>
      </w:r>
      <w:r w:rsidR="005D1FEF" w:rsidRPr="005D1FEF">
        <w:rPr>
          <w:lang w:val="en-IE"/>
        </w:rPr>
        <w:t>Platform for the Defence of Freedom of Information (2026)</w:t>
      </w:r>
      <w:r w:rsidRPr="00CC38D6">
        <w:rPr>
          <w:lang w:val="en-IE"/>
        </w:rPr>
        <w:t xml:space="preserve">, p. 4; </w:t>
      </w:r>
      <w:r w:rsidR="005C121C" w:rsidRPr="005C121C">
        <w:rPr>
          <w:lang w:val="en-IE"/>
        </w:rPr>
        <w:t>International Press Institute (2025)</w:t>
      </w:r>
      <w:r w:rsidRPr="00CC38D6">
        <w:rPr>
          <w:lang w:val="en-IE"/>
        </w:rPr>
        <w:t>, p. 6.</w:t>
      </w:r>
    </w:p>
  </w:footnote>
  <w:footnote w:id="152">
    <w:p w14:paraId="1A476BAC" w14:textId="77777777" w:rsidR="00933ED2" w:rsidRPr="00FD4DBF" w:rsidRDefault="00933ED2" w:rsidP="00B2260E">
      <w:pPr>
        <w:pStyle w:val="FootnoteText"/>
      </w:pPr>
      <w:r w:rsidRPr="00FD4DBF">
        <w:rPr>
          <w:rStyle w:val="FootnoteReference"/>
        </w:rPr>
        <w:footnoteRef/>
      </w:r>
      <w:r w:rsidRPr="00FD4DBF">
        <w:t xml:space="preserve"> </w:t>
      </w:r>
      <w:r w:rsidRPr="00FD4DBF">
        <w:tab/>
        <w:t xml:space="preserve">Internal bodies established by the Law on RTVE for the participation of professionals to ensure the neutrality and objectivity of news content. </w:t>
      </w:r>
    </w:p>
  </w:footnote>
  <w:footnote w:id="153">
    <w:p w14:paraId="40FA774E" w14:textId="5E1FC24F" w:rsidR="00933ED2" w:rsidRPr="00FD4DBF" w:rsidRDefault="00933ED2" w:rsidP="00B2260E">
      <w:pPr>
        <w:pStyle w:val="FootnoteText"/>
      </w:pPr>
      <w:r w:rsidRPr="00FD4DBF">
        <w:rPr>
          <w:rStyle w:val="FootnoteReference"/>
        </w:rPr>
        <w:footnoteRef/>
      </w:r>
      <w:r w:rsidRPr="00FD4DBF">
        <w:t xml:space="preserve"> </w:t>
      </w:r>
      <w:r w:rsidRPr="00FD4DBF">
        <w:tab/>
        <w:t xml:space="preserve">Country visit Spain, </w:t>
      </w:r>
      <w:r w:rsidR="00A016BC" w:rsidRPr="00933ED2">
        <w:rPr>
          <w:lang w:eastAsia="en-GB"/>
        </w:rPr>
        <w:t xml:space="preserve">News Council of </w:t>
      </w:r>
      <w:r>
        <w:t>RTVE; Foundation H</w:t>
      </w:r>
      <w:r w:rsidRPr="00FD4DBF">
        <w:t>ay Derecho (202</w:t>
      </w:r>
      <w:r>
        <w:t>6a</w:t>
      </w:r>
      <w:r w:rsidRPr="00FD4DBF">
        <w:t xml:space="preserve">), written input, p. </w:t>
      </w:r>
      <w:r>
        <w:t>51</w:t>
      </w:r>
      <w:r w:rsidRPr="00FD4DBF">
        <w:t>.</w:t>
      </w:r>
    </w:p>
  </w:footnote>
  <w:footnote w:id="154">
    <w:p w14:paraId="63BFD2A9" w14:textId="77777777" w:rsidR="00933ED2" w:rsidRPr="00FD4DBF" w:rsidRDefault="00933ED2" w:rsidP="00B2260E">
      <w:pPr>
        <w:pStyle w:val="FootnoteText"/>
      </w:pPr>
      <w:r w:rsidRPr="00FD4DBF">
        <w:rPr>
          <w:rStyle w:val="FootnoteReference"/>
        </w:rPr>
        <w:footnoteRef/>
      </w:r>
      <w:r w:rsidRPr="00FD4DBF">
        <w:t xml:space="preserve"> </w:t>
      </w:r>
      <w:r w:rsidRPr="00FD4DBF">
        <w:tab/>
      </w:r>
      <w:r>
        <w:t>Reuters Institute Digital News Report 2025, pp. 108-109;</w:t>
      </w:r>
      <w:r w:rsidRPr="00C458C1">
        <w:t xml:space="preserve"> </w:t>
      </w:r>
      <w:r>
        <w:t>Foundation H</w:t>
      </w:r>
      <w:r w:rsidRPr="00FD4DBF">
        <w:t>ay Derecho (202</w:t>
      </w:r>
      <w:r>
        <w:t>5</w:t>
      </w:r>
      <w:r w:rsidRPr="00FD4DBF">
        <w:t xml:space="preserve">), written input, p. </w:t>
      </w:r>
      <w:r>
        <w:t>50</w:t>
      </w:r>
      <w:r w:rsidRPr="00FD4DBF">
        <w:t>.</w:t>
      </w:r>
    </w:p>
  </w:footnote>
  <w:footnote w:id="155">
    <w:p w14:paraId="510189BD" w14:textId="77777777" w:rsidR="00933ED2" w:rsidRPr="00FD4DBF" w:rsidRDefault="00933ED2" w:rsidP="00B2260E">
      <w:pPr>
        <w:pStyle w:val="FootnoteText"/>
      </w:pPr>
      <w:r w:rsidRPr="00FD4DBF">
        <w:rPr>
          <w:rStyle w:val="FootnoteReference"/>
        </w:rPr>
        <w:footnoteRef/>
      </w:r>
      <w:r w:rsidRPr="00FD4DBF">
        <w:t xml:space="preserve"> </w:t>
      </w:r>
      <w:r w:rsidRPr="00FD4DBF">
        <w:tab/>
        <w:t>Media Pluralism Monitor (202</w:t>
      </w:r>
      <w:r>
        <w:t>6</w:t>
      </w:r>
      <w:r w:rsidRPr="00FD4DBF">
        <w:t xml:space="preserve">), country report for Spain, p. </w:t>
      </w:r>
      <w:r>
        <w:t>35</w:t>
      </w:r>
      <w:r w:rsidRPr="00FD4DBF">
        <w:t>.</w:t>
      </w:r>
    </w:p>
  </w:footnote>
  <w:footnote w:id="156">
    <w:p w14:paraId="430E0A86" w14:textId="571F5E8F" w:rsidR="00933ED2" w:rsidRPr="00847878" w:rsidRDefault="00933ED2" w:rsidP="00B2260E">
      <w:pPr>
        <w:pStyle w:val="FootnoteText"/>
      </w:pPr>
      <w:r>
        <w:rPr>
          <w:rStyle w:val="FootnoteReference"/>
        </w:rPr>
        <w:footnoteRef/>
      </w:r>
      <w:r w:rsidR="00D56332">
        <w:tab/>
      </w:r>
      <w:r w:rsidRPr="005B30A0">
        <w:t>Regulation (EU) 2024/1083 of the European Parliament and of the Council of 11 April 2024 establishing a common framework for media services in the internal market and amending Directive 2010/13/EU (European Media Freedom Act)</w:t>
      </w:r>
      <w:r>
        <w:t>.</w:t>
      </w:r>
    </w:p>
  </w:footnote>
  <w:footnote w:id="157">
    <w:p w14:paraId="0CB6A1FB" w14:textId="77777777" w:rsidR="00933ED2" w:rsidRPr="00FD4DBF" w:rsidRDefault="00933ED2" w:rsidP="00B2260E">
      <w:pPr>
        <w:pStyle w:val="FootnoteText"/>
      </w:pPr>
      <w:r w:rsidRPr="00FD4DBF">
        <w:rPr>
          <w:rStyle w:val="FootnoteReference"/>
        </w:rPr>
        <w:footnoteRef/>
      </w:r>
      <w:r w:rsidRPr="00FD4DBF">
        <w:t xml:space="preserve"> </w:t>
      </w:r>
      <w:r w:rsidRPr="00FD4DBF">
        <w:tab/>
        <w:t>Through a reform of the General Law on Audiovisual communication 13/2022 of 7 July 2022.</w:t>
      </w:r>
    </w:p>
  </w:footnote>
  <w:footnote w:id="158">
    <w:p w14:paraId="5570D1DB" w14:textId="77777777" w:rsidR="00933ED2" w:rsidRPr="00FD4DBF" w:rsidRDefault="00933ED2" w:rsidP="00B2260E">
      <w:pPr>
        <w:pStyle w:val="FootnoteText"/>
      </w:pPr>
      <w:r w:rsidRPr="00FD4DBF">
        <w:rPr>
          <w:rStyle w:val="FootnoteReference"/>
        </w:rPr>
        <w:footnoteRef/>
      </w:r>
      <w:r w:rsidRPr="00FD4DBF">
        <w:tab/>
        <w:t>Spanish Government</w:t>
      </w:r>
      <w:r>
        <w:t xml:space="preserve"> (2026), written input, p. 34</w:t>
      </w:r>
      <w:r w:rsidRPr="00FD4DBF">
        <w:t>.</w:t>
      </w:r>
      <w:r w:rsidRPr="00FD4DBF">
        <w:tab/>
      </w:r>
    </w:p>
  </w:footnote>
  <w:footnote w:id="159">
    <w:p w14:paraId="642F96D2" w14:textId="77777777" w:rsidR="00933ED2" w:rsidRPr="00FD4DBF" w:rsidRDefault="00933ED2" w:rsidP="00B2260E">
      <w:pPr>
        <w:pStyle w:val="FootnoteText"/>
      </w:pPr>
      <w:r w:rsidRPr="00FD4DBF">
        <w:rPr>
          <w:rStyle w:val="FootnoteReference"/>
        </w:rPr>
        <w:footnoteRef/>
      </w:r>
      <w:r w:rsidRPr="00FD4DBF">
        <w:t xml:space="preserve"> </w:t>
      </w:r>
      <w:r w:rsidRPr="00FD4DBF">
        <w:tab/>
        <w:t>202</w:t>
      </w:r>
      <w:r>
        <w:t>6</w:t>
      </w:r>
      <w:r w:rsidRPr="00FD4DBF">
        <w:t xml:space="preserve"> Media Pluralism Monitor, country report for Spain, p. </w:t>
      </w:r>
      <w:r>
        <w:t>22</w:t>
      </w:r>
      <w:r w:rsidRPr="00FD4DBF">
        <w:t>.</w:t>
      </w:r>
    </w:p>
  </w:footnote>
  <w:footnote w:id="160">
    <w:p w14:paraId="10B9F572" w14:textId="43F4082C" w:rsidR="00933ED2" w:rsidRPr="00CE598D" w:rsidRDefault="00933ED2" w:rsidP="00B2260E">
      <w:pPr>
        <w:pStyle w:val="FootnoteText"/>
        <w:rPr>
          <w:lang w:val="en-IE"/>
        </w:rPr>
      </w:pPr>
      <w:r w:rsidRPr="00FD4DBF">
        <w:rPr>
          <w:rStyle w:val="FootnoteReference"/>
        </w:rPr>
        <w:footnoteRef/>
      </w:r>
      <w:r w:rsidRPr="003F325F">
        <w:rPr>
          <w:lang w:val="en-IE"/>
        </w:rPr>
        <w:t xml:space="preserve"> </w:t>
      </w:r>
      <w:r w:rsidRPr="003F325F">
        <w:rPr>
          <w:lang w:val="en-IE"/>
        </w:rPr>
        <w:tab/>
      </w:r>
      <w:r>
        <w:rPr>
          <w:lang w:val="en-IE"/>
        </w:rPr>
        <w:t xml:space="preserve">Foundation </w:t>
      </w:r>
      <w:r w:rsidRPr="003F325F">
        <w:rPr>
          <w:lang w:val="en-IE"/>
        </w:rPr>
        <w:t>Hay Derecho (2026</w:t>
      </w:r>
      <w:r>
        <w:rPr>
          <w:lang w:val="en-IE"/>
        </w:rPr>
        <w:t>a</w:t>
      </w:r>
      <w:r w:rsidRPr="003F325F">
        <w:rPr>
          <w:lang w:val="en-IE"/>
        </w:rPr>
        <w:t>), written input, p. 5</w:t>
      </w:r>
      <w:r>
        <w:rPr>
          <w:lang w:val="en-IE"/>
        </w:rPr>
        <w:t>4</w:t>
      </w:r>
      <w:r w:rsidRPr="003F325F">
        <w:rPr>
          <w:lang w:val="en-IE"/>
        </w:rPr>
        <w:t xml:space="preserve">; </w:t>
      </w:r>
      <w:r w:rsidRPr="00FD4DBF">
        <w:t xml:space="preserve">International Press Institute (2026), written input, </w:t>
      </w:r>
      <w:r>
        <w:t>p. 19;</w:t>
      </w:r>
      <w:r w:rsidRPr="00995206">
        <w:t xml:space="preserve"> </w:t>
      </w:r>
      <w:r w:rsidRPr="00FD4DBF">
        <w:t>European Federation of Journalists (2026), written input, p. 1</w:t>
      </w:r>
      <w:r>
        <w:t xml:space="preserve">8; </w:t>
      </w:r>
      <w:r w:rsidR="00B52529" w:rsidRPr="00B52529">
        <w:t>International Press Institute (2025)</w:t>
      </w:r>
      <w:r>
        <w:t>, pp. 7-8.</w:t>
      </w:r>
    </w:p>
  </w:footnote>
  <w:footnote w:id="161">
    <w:p w14:paraId="4909D341" w14:textId="77777777" w:rsidR="00933ED2" w:rsidRPr="00FD4DBF" w:rsidRDefault="00933ED2" w:rsidP="00B2260E">
      <w:pPr>
        <w:pStyle w:val="FootnoteText"/>
      </w:pPr>
      <w:r w:rsidRPr="00FD4DBF">
        <w:rPr>
          <w:rStyle w:val="FootnoteReference"/>
        </w:rPr>
        <w:footnoteRef/>
      </w:r>
      <w:r w:rsidRPr="00FD4DBF">
        <w:tab/>
        <w:t>Country visit Spain, Spanish Government</w:t>
      </w:r>
      <w:r>
        <w:t xml:space="preserve">; </w:t>
      </w:r>
      <w:r w:rsidRPr="00FD4DBF">
        <w:t>Spanish Government (202</w:t>
      </w:r>
      <w:r>
        <w:t>6</w:t>
      </w:r>
      <w:r w:rsidRPr="00FD4DBF">
        <w:t>), p</w:t>
      </w:r>
      <w:r>
        <w:t>p</w:t>
      </w:r>
      <w:r w:rsidRPr="00FD4DBF">
        <w:t xml:space="preserve">. </w:t>
      </w:r>
      <w:r>
        <w:t>34-35</w:t>
      </w:r>
      <w:r w:rsidRPr="00FD4DBF">
        <w:t>.</w:t>
      </w:r>
      <w:r w:rsidRPr="00FD4DBF">
        <w:tab/>
      </w:r>
    </w:p>
  </w:footnote>
  <w:footnote w:id="162">
    <w:p w14:paraId="18FA5156" w14:textId="6EE251C6" w:rsidR="00933ED2" w:rsidRPr="003F325F" w:rsidRDefault="00933ED2" w:rsidP="00B2260E">
      <w:pPr>
        <w:pStyle w:val="FootnoteText"/>
        <w:rPr>
          <w:lang w:val="en-IE"/>
        </w:rPr>
      </w:pPr>
      <w:r w:rsidRPr="00FD4DBF">
        <w:rPr>
          <w:rStyle w:val="FootnoteReference"/>
        </w:rPr>
        <w:footnoteRef/>
      </w:r>
      <w:r w:rsidRPr="003F325F">
        <w:rPr>
          <w:lang w:val="en-IE"/>
        </w:rPr>
        <w:t xml:space="preserve"> </w:t>
      </w:r>
      <w:r w:rsidRPr="003F325F">
        <w:rPr>
          <w:lang w:val="en-IE"/>
        </w:rPr>
        <w:tab/>
      </w:r>
      <w:r w:rsidRPr="00FD4DBF">
        <w:t xml:space="preserve">Country visit Spain, </w:t>
      </w:r>
      <w:r>
        <w:t xml:space="preserve">Transparency Council, Journalists’ Associations; Foundation </w:t>
      </w:r>
      <w:r w:rsidRPr="003F325F">
        <w:rPr>
          <w:lang w:val="en-IE"/>
        </w:rPr>
        <w:t>Hay Derecho (2026</w:t>
      </w:r>
      <w:r>
        <w:rPr>
          <w:lang w:val="en-IE"/>
        </w:rPr>
        <w:t>a</w:t>
      </w:r>
      <w:r w:rsidRPr="003F325F">
        <w:rPr>
          <w:lang w:val="en-IE"/>
        </w:rPr>
        <w:t>), written input, p. 5</w:t>
      </w:r>
      <w:r>
        <w:rPr>
          <w:lang w:val="en-IE"/>
        </w:rPr>
        <w:t>4</w:t>
      </w:r>
      <w:r w:rsidRPr="003F325F">
        <w:rPr>
          <w:lang w:val="en-IE"/>
        </w:rPr>
        <w:t xml:space="preserve">; Asociación Impulso Ciudadano (2026), written input, pp. </w:t>
      </w:r>
      <w:r>
        <w:rPr>
          <w:lang w:val="en-IE"/>
        </w:rPr>
        <w:t>2-3</w:t>
      </w:r>
      <w:r>
        <w:t xml:space="preserve">; European Federation of Journalists (2026), written input, p. 17; </w:t>
      </w:r>
      <w:r w:rsidRPr="00416EC9">
        <w:t>Plataforma en Defensa de la Libertad de Información (PLI), “La Libertad de Inform</w:t>
      </w:r>
      <w:r>
        <w:t>a</w:t>
      </w:r>
      <w:r w:rsidRPr="00416EC9">
        <w:t>ci</w:t>
      </w:r>
      <w:r>
        <w:t>ó</w:t>
      </w:r>
      <w:r w:rsidRPr="00416EC9">
        <w:t>n en España: Balance 2025, p. 4</w:t>
      </w:r>
      <w:r>
        <w:t xml:space="preserve">; </w:t>
      </w:r>
      <w:r w:rsidR="00B52529" w:rsidRPr="00B52529">
        <w:t>International Press Institute (2025)</w:t>
      </w:r>
      <w:r>
        <w:t>, pp. 6-7.</w:t>
      </w:r>
    </w:p>
  </w:footnote>
  <w:footnote w:id="163">
    <w:p w14:paraId="1C477667" w14:textId="77777777" w:rsidR="00933ED2" w:rsidRPr="00FD4DBF" w:rsidRDefault="00933ED2" w:rsidP="00B2260E">
      <w:pPr>
        <w:pStyle w:val="FootnoteText"/>
        <w:rPr>
          <w:i/>
          <w:iCs/>
        </w:rPr>
      </w:pPr>
      <w:r w:rsidRPr="00FD4DBF">
        <w:rPr>
          <w:rStyle w:val="FootnoteReference"/>
        </w:rPr>
        <w:footnoteRef/>
      </w:r>
      <w:r w:rsidRPr="00FD4DBF">
        <w:t xml:space="preserve"> </w:t>
      </w:r>
      <w:r w:rsidRPr="00FD4DBF">
        <w:tab/>
        <w:t>The 202</w:t>
      </w:r>
      <w:r>
        <w:t>5</w:t>
      </w:r>
      <w:r w:rsidRPr="00FD4DBF">
        <w:t xml:space="preserve"> Rule of Law Report recommended Spain to </w:t>
      </w:r>
      <w:r w:rsidRPr="004B1B9E">
        <w:t>“advance with strengthening access to information, in particular via revision of the Law on Official Secrets, taking into account European standards on access to official documents”.</w:t>
      </w:r>
      <w:r w:rsidRPr="0007670B">
        <w:t xml:space="preserve"> </w:t>
      </w:r>
      <w:r>
        <w:t>Some progress was assessed on this recommendation in 2023, no further progress in 2024 and no further progress in 2025.</w:t>
      </w:r>
    </w:p>
  </w:footnote>
  <w:footnote w:id="164">
    <w:p w14:paraId="7C9606F6" w14:textId="77777777" w:rsidR="00933ED2" w:rsidRPr="00FD4DBF" w:rsidRDefault="00933ED2" w:rsidP="00B2260E">
      <w:pPr>
        <w:pStyle w:val="FootnoteText"/>
      </w:pPr>
      <w:r w:rsidRPr="00FD4DBF">
        <w:rPr>
          <w:rStyle w:val="FootnoteReference"/>
        </w:rPr>
        <w:footnoteRef/>
      </w:r>
      <w:r w:rsidRPr="00FD4DBF">
        <w:t xml:space="preserve"> </w:t>
      </w:r>
      <w:r w:rsidRPr="00FD4DBF">
        <w:tab/>
        <w:t>To replace the current Law on Official Secrets 9/1968 of 5 April 1968.</w:t>
      </w:r>
    </w:p>
  </w:footnote>
  <w:footnote w:id="165">
    <w:p w14:paraId="2295F864" w14:textId="1D1FC3AE" w:rsidR="00933ED2" w:rsidRPr="00FD4DBF" w:rsidRDefault="00933ED2" w:rsidP="00B2260E">
      <w:pPr>
        <w:pStyle w:val="FootnoteText"/>
      </w:pPr>
      <w:r w:rsidRPr="00FD4DBF">
        <w:rPr>
          <w:rStyle w:val="FootnoteReference"/>
        </w:rPr>
        <w:footnoteRef/>
      </w:r>
      <w:r w:rsidRPr="00FD4DBF">
        <w:tab/>
      </w:r>
      <w:r>
        <w:rPr>
          <w:lang w:val="en-IE"/>
        </w:rPr>
        <w:t xml:space="preserve">Namely the Government’s margin of discretion to define what constitutes “classified information”; </w:t>
      </w:r>
      <w:r w:rsidRPr="00FD4DBF">
        <w:t>Spanish Government</w:t>
      </w:r>
      <w:r>
        <w:t xml:space="preserve"> (2026), written input, p. 6; </w:t>
      </w:r>
      <w:r w:rsidRPr="003F325F">
        <w:rPr>
          <w:lang w:val="en-IE"/>
        </w:rPr>
        <w:t>Asociación Impulso Ciudadano (2026), written input,</w:t>
      </w:r>
      <w:r>
        <w:rPr>
          <w:lang w:val="en-IE"/>
        </w:rPr>
        <w:t xml:space="preserve"> p. 7.</w:t>
      </w:r>
      <w:r w:rsidR="0099352A" w:rsidRPr="0099352A">
        <w:t xml:space="preserve"> </w:t>
      </w:r>
      <w:r w:rsidR="003A5178">
        <w:t>I</w:t>
      </w:r>
      <w:r w:rsidR="0099352A" w:rsidRPr="0099352A">
        <w:rPr>
          <w:lang w:val="en-IE"/>
        </w:rPr>
        <w:t>nformation relating to serious human rights violations or crimes against humanity may not be classified. Furthermore, the draft provides for the automatic declassification of information once the time limit established for each of the four categories of classified information has elapsed</w:t>
      </w:r>
      <w:r w:rsidR="00FC19F2">
        <w:rPr>
          <w:lang w:val="en-IE"/>
        </w:rPr>
        <w:t>.</w:t>
      </w:r>
      <w:r w:rsidR="003A5178">
        <w:rPr>
          <w:lang w:val="en-IE"/>
        </w:rPr>
        <w:t xml:space="preserve"> </w:t>
      </w:r>
      <w:r w:rsidR="003A5178" w:rsidRPr="003A5178">
        <w:rPr>
          <w:lang w:val="en-IE"/>
        </w:rPr>
        <w:t>Spanish Government (2026c),</w:t>
      </w:r>
      <w:r w:rsidR="003A5178">
        <w:rPr>
          <w:lang w:val="en-IE"/>
        </w:rPr>
        <w:t xml:space="preserve"> </w:t>
      </w:r>
      <w:r w:rsidR="009E1542">
        <w:rPr>
          <w:lang w:val="en-IE"/>
        </w:rPr>
        <w:t>additional written input</w:t>
      </w:r>
      <w:r w:rsidR="00691C35">
        <w:rPr>
          <w:lang w:val="en-IE"/>
        </w:rPr>
        <w:t>.</w:t>
      </w:r>
    </w:p>
  </w:footnote>
  <w:footnote w:id="166">
    <w:p w14:paraId="6E66D2E4" w14:textId="77777777" w:rsidR="00933ED2" w:rsidRPr="00FD4DBF" w:rsidRDefault="00933ED2" w:rsidP="00B2260E">
      <w:pPr>
        <w:pStyle w:val="FootnoteText"/>
      </w:pPr>
      <w:r w:rsidRPr="00FD4DBF">
        <w:rPr>
          <w:rStyle w:val="FootnoteReference"/>
        </w:rPr>
        <w:footnoteRef/>
      </w:r>
      <w:r w:rsidRPr="00FD4DBF">
        <w:tab/>
        <w:t>Spanish Government</w:t>
      </w:r>
      <w:r>
        <w:t xml:space="preserve"> (2026), written input, p. 6</w:t>
      </w:r>
      <w:r w:rsidRPr="00FD4DBF">
        <w:t>.</w:t>
      </w:r>
      <w:r w:rsidRPr="00FD4DBF">
        <w:tab/>
      </w:r>
    </w:p>
  </w:footnote>
  <w:footnote w:id="167">
    <w:p w14:paraId="79B5685D" w14:textId="77777777" w:rsidR="00933ED2" w:rsidRPr="00FD4DBF" w:rsidRDefault="00933ED2" w:rsidP="00B2260E">
      <w:pPr>
        <w:pStyle w:val="FootnoteText"/>
      </w:pPr>
      <w:r w:rsidRPr="00FD4DBF">
        <w:rPr>
          <w:rStyle w:val="FootnoteReference"/>
        </w:rPr>
        <w:footnoteRef/>
      </w:r>
      <w:r w:rsidRPr="00FD4DBF">
        <w:t xml:space="preserve"> </w:t>
      </w:r>
      <w:r w:rsidRPr="00FD4DBF">
        <w:tab/>
        <w:t>The Council of Europe Convention on Access to Official Documents (CETS No. 205), also known as the Tromsø Convention, entered into force on 1 December 2020.</w:t>
      </w:r>
    </w:p>
  </w:footnote>
  <w:footnote w:id="168">
    <w:p w14:paraId="3F71BB96" w14:textId="77777777" w:rsidR="00933ED2" w:rsidRPr="00FD4DBF" w:rsidRDefault="00933ED2" w:rsidP="00B2260E">
      <w:pPr>
        <w:pStyle w:val="FootnoteText"/>
      </w:pPr>
      <w:r w:rsidRPr="00FD4DBF">
        <w:rPr>
          <w:rStyle w:val="FootnoteReference"/>
        </w:rPr>
        <w:footnoteRef/>
      </w:r>
      <w:r w:rsidRPr="00FD4DBF">
        <w:tab/>
        <w:t>Spanish Government</w:t>
      </w:r>
      <w:r>
        <w:t xml:space="preserve"> (2026a), written input, pp. 9-10.</w:t>
      </w:r>
      <w:r w:rsidRPr="00005DB6">
        <w:t xml:space="preserve"> Law 19/2013 of </w:t>
      </w:r>
      <w:r>
        <w:t xml:space="preserve">9 </w:t>
      </w:r>
      <w:r w:rsidRPr="00005DB6">
        <w:t>December 2013</w:t>
      </w:r>
      <w:r>
        <w:t>.</w:t>
      </w:r>
    </w:p>
  </w:footnote>
  <w:footnote w:id="169">
    <w:p w14:paraId="09363074" w14:textId="0E57F8D7" w:rsidR="00933ED2" w:rsidRPr="009C330F" w:rsidRDefault="00933ED2" w:rsidP="00B2260E">
      <w:pPr>
        <w:pStyle w:val="FootnoteText"/>
      </w:pPr>
      <w:r w:rsidRPr="00FD4DBF">
        <w:rPr>
          <w:rStyle w:val="FootnoteReference"/>
        </w:rPr>
        <w:footnoteRef/>
      </w:r>
      <w:r w:rsidRPr="009C330F">
        <w:t xml:space="preserve"> </w:t>
      </w:r>
      <w:r w:rsidRPr="009C330F">
        <w:tab/>
        <w:t xml:space="preserve">Country visit Spain, Journalists’ Associations; </w:t>
      </w:r>
      <w:r>
        <w:t xml:space="preserve">Foundation </w:t>
      </w:r>
      <w:r w:rsidRPr="009C330F">
        <w:t>Hay Derecho (2026</w:t>
      </w:r>
      <w:r>
        <w:t>a</w:t>
      </w:r>
      <w:r w:rsidRPr="009C330F">
        <w:t xml:space="preserve">), written input, pp. 60-61; European Federation of Journalists (2026), written input, p. 19; Asociación Impulso Ciudadano (2026), written input, p. 7; Plataforma en Defensa de la Libertad de Información (PLI), “La Libertad de </w:t>
      </w:r>
      <w:r w:rsidR="00CC5CF1" w:rsidRPr="009C330F">
        <w:t>Inform</w:t>
      </w:r>
      <w:r w:rsidR="00CC5CF1">
        <w:t>a</w:t>
      </w:r>
      <w:r w:rsidR="00CC5CF1" w:rsidRPr="009C330F">
        <w:t>ci</w:t>
      </w:r>
      <w:r w:rsidR="00CC5CF1">
        <w:t>ó</w:t>
      </w:r>
      <w:r w:rsidR="00CC5CF1" w:rsidRPr="009C330F">
        <w:t xml:space="preserve">n </w:t>
      </w:r>
      <w:r w:rsidRPr="009C330F">
        <w:t>en España: Balance 2025</w:t>
      </w:r>
      <w:r w:rsidR="001B2BDA">
        <w:t>”</w:t>
      </w:r>
      <w:r w:rsidRPr="009C330F">
        <w:t>, p. 3.</w:t>
      </w:r>
    </w:p>
  </w:footnote>
  <w:footnote w:id="170">
    <w:p w14:paraId="7EED8623" w14:textId="77777777" w:rsidR="00933ED2" w:rsidRPr="003F325F" w:rsidRDefault="00933ED2" w:rsidP="00B2260E">
      <w:pPr>
        <w:pStyle w:val="FootnoteText"/>
        <w:rPr>
          <w:lang w:val="en-IE"/>
        </w:rPr>
      </w:pPr>
      <w:r w:rsidRPr="00FD4DBF">
        <w:rPr>
          <w:rStyle w:val="FootnoteReference"/>
        </w:rPr>
        <w:footnoteRef/>
      </w:r>
      <w:r w:rsidRPr="003F325F">
        <w:rPr>
          <w:lang w:val="en-IE"/>
        </w:rPr>
        <w:t xml:space="preserve"> </w:t>
      </w:r>
      <w:r w:rsidRPr="003F325F">
        <w:rPr>
          <w:lang w:val="en-IE"/>
        </w:rPr>
        <w:tab/>
      </w:r>
      <w:r>
        <w:rPr>
          <w:lang w:val="en-IE"/>
        </w:rPr>
        <w:t xml:space="preserve">Foundation </w:t>
      </w:r>
      <w:r w:rsidRPr="003F325F">
        <w:rPr>
          <w:lang w:val="en-IE"/>
        </w:rPr>
        <w:t>Hay Derecho (2026</w:t>
      </w:r>
      <w:r>
        <w:rPr>
          <w:lang w:val="en-IE"/>
        </w:rPr>
        <w:t>a</w:t>
      </w:r>
      <w:r w:rsidRPr="003F325F">
        <w:rPr>
          <w:lang w:val="en-IE"/>
        </w:rPr>
        <w:t xml:space="preserve">), written input, p. </w:t>
      </w:r>
      <w:r>
        <w:rPr>
          <w:lang w:val="en-IE"/>
        </w:rPr>
        <w:t>60.</w:t>
      </w:r>
    </w:p>
  </w:footnote>
  <w:footnote w:id="171">
    <w:p w14:paraId="793FEF29" w14:textId="77777777" w:rsidR="00933ED2" w:rsidRPr="00FD4DBF" w:rsidRDefault="00933ED2" w:rsidP="00B2260E">
      <w:pPr>
        <w:pStyle w:val="FootnoteText"/>
      </w:pPr>
      <w:r w:rsidRPr="00FD4DBF">
        <w:rPr>
          <w:rStyle w:val="FootnoteReference"/>
        </w:rPr>
        <w:footnoteRef/>
      </w:r>
      <w:r w:rsidRPr="00FD4DBF">
        <w:tab/>
        <w:t>Spanish Government (202</w:t>
      </w:r>
      <w:r>
        <w:t>6</w:t>
      </w:r>
      <w:r w:rsidRPr="00FD4DBF">
        <w:t>), p.</w:t>
      </w:r>
      <w:r>
        <w:t xml:space="preserve"> 36.</w:t>
      </w:r>
    </w:p>
  </w:footnote>
  <w:footnote w:id="172">
    <w:p w14:paraId="24C7013D" w14:textId="77777777" w:rsidR="00933ED2" w:rsidRPr="00FD4DBF" w:rsidRDefault="00933ED2" w:rsidP="00B2260E">
      <w:pPr>
        <w:pStyle w:val="FootnoteText"/>
      </w:pPr>
      <w:r w:rsidRPr="00FD4DBF">
        <w:rPr>
          <w:rStyle w:val="FootnoteReference"/>
        </w:rPr>
        <w:footnoteRef/>
      </w:r>
      <w:r w:rsidRPr="00FD4DBF">
        <w:t xml:space="preserve"> </w:t>
      </w:r>
      <w:r w:rsidRPr="00FD4DBF">
        <w:tab/>
      </w:r>
      <w:r w:rsidRPr="00CC38D6">
        <w:rPr>
          <w:lang w:val="en-IE"/>
        </w:rPr>
        <w:t>Congress (2024)</w:t>
      </w:r>
      <w:r w:rsidRPr="00CC38D6">
        <w:t>. It would provide that the taking of images of police actions would no longer be sanctioned.</w:t>
      </w:r>
    </w:p>
  </w:footnote>
  <w:footnote w:id="173">
    <w:p w14:paraId="0187590E" w14:textId="77777777" w:rsidR="00933ED2" w:rsidRPr="00FD4DBF" w:rsidRDefault="00933ED2" w:rsidP="00B2260E">
      <w:pPr>
        <w:pStyle w:val="FootnoteText"/>
      </w:pPr>
      <w:r w:rsidRPr="00FD4DBF">
        <w:rPr>
          <w:rStyle w:val="FootnoteReference"/>
        </w:rPr>
        <w:footnoteRef/>
      </w:r>
      <w:r w:rsidRPr="00FD4DBF">
        <w:t xml:space="preserve"> </w:t>
      </w:r>
      <w:r w:rsidRPr="00FD4DBF">
        <w:tab/>
      </w:r>
      <w:r>
        <w:t>To</w:t>
      </w:r>
      <w:r w:rsidRPr="00FD4DBF">
        <w:t xml:space="preserve"> replace Organic Law 2/1984, of 26 March, regulating the right of rectification</w:t>
      </w:r>
      <w:r>
        <w:t xml:space="preserve"> and foreseeing that </w:t>
      </w:r>
      <w:r w:rsidRPr="009333D9">
        <w:t xml:space="preserve">false or inaccurate information that causes harm to individuals </w:t>
      </w:r>
      <w:r>
        <w:t>can</w:t>
      </w:r>
      <w:r w:rsidRPr="009333D9">
        <w:t xml:space="preserve"> be publicly corrected.</w:t>
      </w:r>
    </w:p>
  </w:footnote>
  <w:footnote w:id="174">
    <w:p w14:paraId="40702409" w14:textId="77777777" w:rsidR="00933ED2" w:rsidRPr="00FD4DBF" w:rsidRDefault="00933ED2" w:rsidP="00B2260E">
      <w:pPr>
        <w:pStyle w:val="FootnoteText"/>
      </w:pPr>
      <w:r w:rsidRPr="00FD4DBF">
        <w:rPr>
          <w:rStyle w:val="FootnoteReference"/>
        </w:rPr>
        <w:footnoteRef/>
      </w:r>
      <w:r w:rsidRPr="00FD4DBF">
        <w:tab/>
        <w:t>Country visit Spain, Spanish Government.</w:t>
      </w:r>
      <w:r w:rsidRPr="00FD4DBF">
        <w:tab/>
      </w:r>
    </w:p>
  </w:footnote>
  <w:footnote w:id="175">
    <w:p w14:paraId="29233EB8" w14:textId="77777777" w:rsidR="00933ED2" w:rsidRPr="00F61C51" w:rsidRDefault="00933ED2" w:rsidP="00B2260E">
      <w:pPr>
        <w:pStyle w:val="FootnoteText"/>
      </w:pPr>
      <w:r>
        <w:rPr>
          <w:rStyle w:val="FootnoteReference"/>
        </w:rPr>
        <w:footnoteRef/>
      </w:r>
      <w:r>
        <w:t xml:space="preserve"> </w:t>
      </w:r>
      <w:r>
        <w:tab/>
      </w:r>
      <w:r w:rsidRPr="00FD4DBF">
        <w:t>Spanish Government (202</w:t>
      </w:r>
      <w:r>
        <w:t>6</w:t>
      </w:r>
      <w:r w:rsidRPr="00FD4DBF">
        <w:t>), p.</w:t>
      </w:r>
      <w:r>
        <w:t xml:space="preserve"> 41; t</w:t>
      </w:r>
      <w:r w:rsidRPr="0065607B">
        <w:t xml:space="preserve">he first draft would amend both the Law of Civil Procedure and the Law on International Legal Cooperation in Civil Matters, while the second </w:t>
      </w:r>
      <w:r>
        <w:t xml:space="preserve">would </w:t>
      </w:r>
      <w:r w:rsidRPr="0065607B">
        <w:t>amend the Organic Law on the Judiciary.</w:t>
      </w:r>
      <w:r>
        <w:t xml:space="preserve"> See Directive </w:t>
      </w:r>
      <w:r w:rsidRPr="000F411C">
        <w:t>(EU) 2024/1069 on the protection of persons involved in public participation from manifestly unfounded claims or abusive legal proceedings (SLAPP)</w:t>
      </w:r>
      <w:r>
        <w:t>.</w:t>
      </w:r>
    </w:p>
  </w:footnote>
  <w:footnote w:id="176">
    <w:p w14:paraId="4829E8CB" w14:textId="77777777" w:rsidR="00933ED2" w:rsidRPr="003F325F" w:rsidRDefault="00933ED2" w:rsidP="00B2260E">
      <w:pPr>
        <w:pStyle w:val="FootnoteText"/>
        <w:rPr>
          <w:lang w:val="en-IE"/>
        </w:rPr>
      </w:pPr>
      <w:r w:rsidRPr="00FD4DBF">
        <w:rPr>
          <w:rStyle w:val="FootnoteReference"/>
        </w:rPr>
        <w:footnoteRef/>
      </w:r>
      <w:r w:rsidRPr="00416EC9">
        <w:rPr>
          <w:lang w:val="en-IE"/>
        </w:rPr>
        <w:t xml:space="preserve"> </w:t>
      </w:r>
      <w:r w:rsidRPr="00416EC9">
        <w:rPr>
          <w:lang w:val="en-IE"/>
        </w:rPr>
        <w:tab/>
      </w:r>
      <w:r>
        <w:rPr>
          <w:lang w:val="en-IE"/>
        </w:rPr>
        <w:t>Decision</w:t>
      </w:r>
      <w:r w:rsidRPr="00D51CB3">
        <w:rPr>
          <w:lang w:val="en-IE"/>
        </w:rPr>
        <w:t xml:space="preserve"> number SA.119861</w:t>
      </w:r>
      <w:r>
        <w:rPr>
          <w:lang w:val="en-IE"/>
        </w:rPr>
        <w:t>, available</w:t>
      </w:r>
      <w:r w:rsidRPr="00D51CB3">
        <w:rPr>
          <w:lang w:val="en-IE"/>
        </w:rPr>
        <w:t xml:space="preserve"> in the State aid register on the Commission's competition website.</w:t>
      </w:r>
    </w:p>
  </w:footnote>
  <w:footnote w:id="177">
    <w:p w14:paraId="0AD48652" w14:textId="77777777" w:rsidR="00933ED2" w:rsidRPr="00FD4DBF" w:rsidRDefault="00933ED2" w:rsidP="00B2260E">
      <w:pPr>
        <w:pStyle w:val="FootnoteText"/>
      </w:pPr>
      <w:r w:rsidRPr="00FD4DBF">
        <w:rPr>
          <w:rStyle w:val="FootnoteReference"/>
        </w:rPr>
        <w:footnoteRef/>
      </w:r>
      <w:r w:rsidRPr="00FD4DBF">
        <w:t xml:space="preserve"> </w:t>
      </w:r>
      <w:r w:rsidRPr="00FD4DBF">
        <w:tab/>
        <w:t>Council of Europe, Platform to promote the protection of journalism and safety of journalists, Spain.</w:t>
      </w:r>
    </w:p>
  </w:footnote>
  <w:footnote w:id="178">
    <w:p w14:paraId="1631B1B6" w14:textId="77777777" w:rsidR="00933ED2" w:rsidRPr="00FD4DBF" w:rsidRDefault="00933ED2" w:rsidP="00B2260E">
      <w:pPr>
        <w:pStyle w:val="FootnoteText"/>
      </w:pPr>
      <w:r w:rsidRPr="00FD4DBF">
        <w:rPr>
          <w:rStyle w:val="FootnoteReference"/>
        </w:rPr>
        <w:footnoteRef/>
      </w:r>
      <w:r w:rsidRPr="00FD4DBF">
        <w:t xml:space="preserve"> </w:t>
      </w:r>
      <w:r>
        <w:tab/>
      </w:r>
      <w:r w:rsidRPr="00FD4DBF">
        <w:t xml:space="preserve">Spain has replied to </w:t>
      </w:r>
      <w:r>
        <w:t>four</w:t>
      </w:r>
      <w:r w:rsidRPr="00FD4DBF">
        <w:t xml:space="preserve"> alerts.</w:t>
      </w:r>
    </w:p>
  </w:footnote>
  <w:footnote w:id="179">
    <w:p w14:paraId="0B7B5642" w14:textId="77777777" w:rsidR="00933ED2" w:rsidRPr="00FD4DBF" w:rsidRDefault="00933ED2" w:rsidP="00B2260E">
      <w:pPr>
        <w:pStyle w:val="FootnoteText"/>
      </w:pPr>
      <w:r w:rsidRPr="00FD4DBF">
        <w:rPr>
          <w:rStyle w:val="FootnoteReference"/>
        </w:rPr>
        <w:footnoteRef/>
      </w:r>
      <w:r w:rsidRPr="00FD4DBF">
        <w:t xml:space="preserve"> </w:t>
      </w:r>
      <w:r w:rsidRPr="00FD4DBF">
        <w:tab/>
        <w:t>The Media Freedom Rapid Response (MFRR) is a Europe-wide mechanism that tracks, monitors and reacts to press and media freedom violations in EU member states and candidate countries.</w:t>
      </w:r>
    </w:p>
  </w:footnote>
  <w:footnote w:id="180">
    <w:p w14:paraId="15A8CBDD" w14:textId="15B78073" w:rsidR="00933ED2" w:rsidRPr="00B76496" w:rsidRDefault="00933ED2" w:rsidP="00B2260E">
      <w:pPr>
        <w:pStyle w:val="FootnoteText"/>
        <w:rPr>
          <w:lang w:val="en-IE"/>
        </w:rPr>
      </w:pPr>
      <w:r w:rsidRPr="00FD4DBF">
        <w:rPr>
          <w:rStyle w:val="FootnoteReference"/>
        </w:rPr>
        <w:footnoteRef/>
      </w:r>
      <w:r w:rsidRPr="00B76496">
        <w:rPr>
          <w:lang w:val="en-IE"/>
        </w:rPr>
        <w:t xml:space="preserve"> </w:t>
      </w:r>
      <w:r w:rsidRPr="00B76496">
        <w:rPr>
          <w:lang w:val="en-IE"/>
        </w:rPr>
        <w:tab/>
        <w:t xml:space="preserve">Foundation Hay Derecho (2026a), written input, pp. 58-59; Asociación Impulso Ciudadano (2026), written input, pp. 8-9; European Federation of Journalists (2026), written input, p. 18; International Press Institute (2026), written input, p. 20; </w:t>
      </w:r>
      <w:r w:rsidR="00277C6D" w:rsidRPr="00B76496">
        <w:rPr>
          <w:lang w:val="en-IE"/>
        </w:rPr>
        <w:t>Platform for the Defence of Freedom of Information (2026)</w:t>
      </w:r>
      <w:r w:rsidRPr="00B76496">
        <w:rPr>
          <w:lang w:val="en-IE"/>
        </w:rPr>
        <w:t>, pp. 1-2.</w:t>
      </w:r>
    </w:p>
  </w:footnote>
  <w:footnote w:id="181">
    <w:p w14:paraId="07A1A55F" w14:textId="77777777" w:rsidR="00933ED2" w:rsidRPr="007600B4" w:rsidRDefault="00933ED2" w:rsidP="00B2260E">
      <w:pPr>
        <w:pStyle w:val="FootnoteText"/>
        <w:rPr>
          <w:lang w:val="es-ES"/>
        </w:rPr>
      </w:pPr>
      <w:r w:rsidRPr="00FD4DBF">
        <w:rPr>
          <w:rStyle w:val="FootnoteReference"/>
        </w:rPr>
        <w:footnoteRef/>
      </w:r>
      <w:r w:rsidRPr="007600B4">
        <w:rPr>
          <w:lang w:val="es-ES"/>
        </w:rPr>
        <w:t xml:space="preserve"> </w:t>
      </w:r>
      <w:r w:rsidRPr="007600B4">
        <w:rPr>
          <w:lang w:val="es-ES"/>
        </w:rPr>
        <w:tab/>
        <w:t>Comunicado Asociación de la P</w:t>
      </w:r>
      <w:r>
        <w:rPr>
          <w:lang w:val="es-ES"/>
        </w:rPr>
        <w:t>rensa de Madrid “</w:t>
      </w:r>
      <w:r w:rsidRPr="007600B4">
        <w:rPr>
          <w:lang w:val="es-ES"/>
        </w:rPr>
        <w:t>Manifiesto 8M</w:t>
      </w:r>
      <w:r>
        <w:rPr>
          <w:lang w:val="es-ES"/>
        </w:rPr>
        <w:t xml:space="preserve">: </w:t>
      </w:r>
      <w:r w:rsidRPr="007600B4">
        <w:rPr>
          <w:lang w:val="es-ES"/>
        </w:rPr>
        <w:t>La APM reivindica igualdad salarial, acceso a los puestos directivos y que cese el acoso a las periodistas</w:t>
      </w:r>
      <w:r>
        <w:rPr>
          <w:lang w:val="es-ES"/>
        </w:rPr>
        <w:t>” published on 06.03.2026.</w:t>
      </w:r>
    </w:p>
  </w:footnote>
  <w:footnote w:id="182">
    <w:p w14:paraId="5F51D6F2" w14:textId="77777777" w:rsidR="00933ED2" w:rsidRPr="00E56A09" w:rsidRDefault="00933ED2" w:rsidP="00B2260E">
      <w:pPr>
        <w:pStyle w:val="FootnoteText"/>
      </w:pPr>
      <w:r>
        <w:rPr>
          <w:rStyle w:val="FootnoteReference"/>
        </w:rPr>
        <w:footnoteRef/>
      </w:r>
      <w:r>
        <w:t xml:space="preserve"> </w:t>
      </w:r>
      <w:r>
        <w:tab/>
      </w:r>
      <w:r w:rsidRPr="009C330F">
        <w:t>Country visit Spain, Journalists’ Associations</w:t>
      </w:r>
      <w:r>
        <w:t>.</w:t>
      </w:r>
    </w:p>
  </w:footnote>
  <w:footnote w:id="183">
    <w:p w14:paraId="61AFECE9" w14:textId="77777777" w:rsidR="00933ED2" w:rsidRPr="002067EC" w:rsidRDefault="00933ED2" w:rsidP="00B2260E">
      <w:pPr>
        <w:pStyle w:val="FootnoteText"/>
      </w:pPr>
      <w:r>
        <w:rPr>
          <w:rStyle w:val="FootnoteReference"/>
        </w:rPr>
        <w:footnoteRef/>
      </w:r>
      <w:r>
        <w:t xml:space="preserve"> </w:t>
      </w:r>
      <w:r>
        <w:tab/>
      </w:r>
      <w:r w:rsidRPr="004341D5">
        <w:t xml:space="preserve">Organic Law 1/2024 of 10 June </w:t>
      </w:r>
      <w:r w:rsidRPr="004341D5">
        <w:rPr>
          <w:lang w:val="en-IE"/>
        </w:rPr>
        <w:t>on Amnesty for the Institutional, Political and Social Normalisation of Catalonia.</w:t>
      </w:r>
    </w:p>
  </w:footnote>
  <w:footnote w:id="184">
    <w:p w14:paraId="35208F2C" w14:textId="77777777" w:rsidR="00933ED2" w:rsidRPr="00CC38D6" w:rsidRDefault="00933ED2" w:rsidP="00B2260E">
      <w:pPr>
        <w:pStyle w:val="FootnoteText"/>
        <w:rPr>
          <w:lang w:val="en-IE"/>
        </w:rPr>
      </w:pPr>
      <w:r>
        <w:rPr>
          <w:rStyle w:val="FootnoteReference"/>
        </w:rPr>
        <w:footnoteRef/>
      </w:r>
      <w:r>
        <w:t xml:space="preserve"> </w:t>
      </w:r>
      <w:r>
        <w:tab/>
      </w:r>
      <w:r w:rsidRPr="000D2B10">
        <w:t>The Amnesty Law</w:t>
      </w:r>
      <w:r>
        <w:t xml:space="preserve"> </w:t>
      </w:r>
      <w:r w:rsidRPr="000D2B10">
        <w:t>provides for an amnesty applying to acts and events encompassing criminal, administrative or accounting liability, defined both in terms of the dates of the acts</w:t>
      </w:r>
      <w:r>
        <w:t xml:space="preserve"> </w:t>
      </w:r>
      <w:r w:rsidRPr="00B7537E">
        <w:t>and their connection with events around the “independence process” in Cataloni</w:t>
      </w:r>
      <w:r>
        <w:t>a. See 2025 Rule of Law Report, Spain, pp. 17-18.</w:t>
      </w:r>
    </w:p>
  </w:footnote>
  <w:footnote w:id="185">
    <w:p w14:paraId="3D214D5F" w14:textId="77777777" w:rsidR="00933ED2" w:rsidRPr="005133C5" w:rsidRDefault="00933ED2" w:rsidP="00B2260E">
      <w:pPr>
        <w:pStyle w:val="FootnoteText"/>
        <w:rPr>
          <w:lang w:val="en-IE"/>
        </w:rPr>
      </w:pPr>
      <w:r>
        <w:rPr>
          <w:rStyle w:val="FootnoteReference"/>
        </w:rPr>
        <w:footnoteRef/>
      </w:r>
      <w:r>
        <w:t xml:space="preserve"> </w:t>
      </w:r>
      <w:r>
        <w:tab/>
      </w:r>
      <w:r w:rsidRPr="00AE73BD">
        <w:t>C-523/24, C-587/24, C-666/24 and C-123/25.</w:t>
      </w:r>
    </w:p>
  </w:footnote>
  <w:footnote w:id="186">
    <w:p w14:paraId="322898B0" w14:textId="654EB2B9" w:rsidR="003F7E36" w:rsidRPr="00AF1855" w:rsidRDefault="003F7E36">
      <w:pPr>
        <w:pStyle w:val="FootnoteText"/>
        <w:rPr>
          <w:lang w:val="en-IE"/>
        </w:rPr>
      </w:pPr>
      <w:r>
        <w:rPr>
          <w:rStyle w:val="FootnoteReference"/>
        </w:rPr>
        <w:footnoteRef/>
      </w:r>
      <w:r>
        <w:tab/>
      </w:r>
      <w:r w:rsidRPr="00AE73BD">
        <w:t>C-523/24</w:t>
      </w:r>
      <w:r>
        <w:t xml:space="preserve"> and </w:t>
      </w:r>
      <w:r w:rsidRPr="00AE73BD">
        <w:t>C-666/24</w:t>
      </w:r>
      <w:r>
        <w:t>.</w:t>
      </w:r>
    </w:p>
  </w:footnote>
  <w:footnote w:id="187">
    <w:p w14:paraId="41A7FEBF" w14:textId="626CCF2E" w:rsidR="00E25894" w:rsidRPr="00AF1855" w:rsidRDefault="00E25894">
      <w:pPr>
        <w:pStyle w:val="FootnoteText"/>
        <w:rPr>
          <w:lang w:val="en-IE"/>
        </w:rPr>
      </w:pPr>
      <w:r>
        <w:rPr>
          <w:rStyle w:val="FootnoteReference"/>
        </w:rPr>
        <w:footnoteRef/>
      </w:r>
      <w:r>
        <w:tab/>
      </w:r>
      <w:r w:rsidRPr="00AE73BD">
        <w:t>C-587/24</w:t>
      </w:r>
      <w:r>
        <w:t xml:space="preserve"> and </w:t>
      </w:r>
      <w:r w:rsidRPr="00AE73BD">
        <w:t>C-123/25</w:t>
      </w:r>
      <w:r>
        <w:t>.</w:t>
      </w:r>
    </w:p>
  </w:footnote>
  <w:footnote w:id="188">
    <w:p w14:paraId="00D205C5" w14:textId="77777777" w:rsidR="00933ED2" w:rsidRPr="00056F1D" w:rsidRDefault="00933ED2" w:rsidP="00B2260E">
      <w:pPr>
        <w:pStyle w:val="FootnoteText"/>
      </w:pPr>
      <w:r w:rsidRPr="00056F1D">
        <w:rPr>
          <w:rStyle w:val="FootnoteReference"/>
        </w:rPr>
        <w:footnoteRef/>
      </w:r>
      <w:r w:rsidRPr="00056F1D">
        <w:t xml:space="preserve"> </w:t>
      </w:r>
      <w:r w:rsidRPr="00056F1D">
        <w:tab/>
      </w:r>
      <w:r>
        <w:t xml:space="preserve">Figures 52 and 53, </w:t>
      </w:r>
      <w:r w:rsidRPr="00056F1D">
        <w:t>202</w:t>
      </w:r>
      <w:r>
        <w:t>6</w:t>
      </w:r>
      <w:r w:rsidRPr="00056F1D">
        <w:t xml:space="preserve"> EU Justice Scoreboard</w:t>
      </w:r>
      <w:r>
        <w:t xml:space="preserve">. Only </w:t>
      </w:r>
      <w:r>
        <w:rPr>
          <w:lang w:eastAsia="fr-FR"/>
        </w:rPr>
        <w:t>19</w:t>
      </w:r>
      <w:r w:rsidRPr="005A62B4">
        <w:rPr>
          <w:lang w:eastAsia="fr-FR"/>
        </w:rPr>
        <w:t xml:space="preserve">% and only </w:t>
      </w:r>
      <w:r>
        <w:rPr>
          <w:lang w:eastAsia="fr-FR"/>
        </w:rPr>
        <w:t>15</w:t>
      </w:r>
      <w:r w:rsidRPr="009259B7">
        <w:rPr>
          <w:lang w:eastAsia="fr-FR"/>
        </w:rPr>
        <w:t xml:space="preserve">% </w:t>
      </w:r>
      <w:r w:rsidRPr="00056F1D">
        <w:t xml:space="preserve">of the surveyed investors </w:t>
      </w:r>
      <w:r>
        <w:t xml:space="preserve">respectively </w:t>
      </w:r>
      <w:r w:rsidRPr="00056F1D">
        <w:t>perceive</w:t>
      </w:r>
      <w:r>
        <w:t xml:space="preserve"> </w:t>
      </w:r>
      <w:r w:rsidRPr="00E65DB6">
        <w:rPr>
          <w:rFonts w:eastAsia="Calibri"/>
        </w:rPr>
        <w:t>concerns about quality, efficiency or independence of justice</w:t>
      </w:r>
      <w:r>
        <w:rPr>
          <w:rFonts w:eastAsia="Calibri"/>
        </w:rPr>
        <w:t xml:space="preserve"> and </w:t>
      </w:r>
      <w:r w:rsidRPr="00196C3B">
        <w:t>frequent changes in legislation or concerns about the quality of the law-making process</w:t>
      </w:r>
      <w:r w:rsidRPr="00056F1D">
        <w:t xml:space="preserve"> as a reason for the lack of confidence in investment protection</w:t>
      </w:r>
      <w:r w:rsidRPr="00DA4734">
        <w:t>.</w:t>
      </w:r>
    </w:p>
  </w:footnote>
  <w:footnote w:id="189">
    <w:p w14:paraId="1433FC42" w14:textId="77777777" w:rsidR="00933ED2" w:rsidRPr="003B29EE" w:rsidRDefault="00933ED2" w:rsidP="00B2260E">
      <w:pPr>
        <w:pStyle w:val="FootnoteText"/>
      </w:pPr>
      <w:r w:rsidRPr="00056F1D">
        <w:rPr>
          <w:rStyle w:val="FootnoteReference"/>
        </w:rPr>
        <w:footnoteRef/>
      </w:r>
      <w:r w:rsidRPr="003B29EE">
        <w:t xml:space="preserve"> </w:t>
      </w:r>
      <w:r w:rsidRPr="003B29EE">
        <w:tab/>
      </w:r>
      <w:r>
        <w:t xml:space="preserve">Figure 60, </w:t>
      </w:r>
      <w:r w:rsidRPr="003B29EE">
        <w:t>20</w:t>
      </w:r>
      <w:r>
        <w:t>26</w:t>
      </w:r>
      <w:r w:rsidRPr="003B29EE">
        <w:t xml:space="preserve"> EU Justice Scoreboard.</w:t>
      </w:r>
    </w:p>
  </w:footnote>
  <w:footnote w:id="190">
    <w:p w14:paraId="29613177" w14:textId="77777777" w:rsidR="00933ED2" w:rsidRPr="00866ABA" w:rsidRDefault="00933ED2" w:rsidP="00B2260E">
      <w:pPr>
        <w:pStyle w:val="FootnoteText"/>
      </w:pPr>
      <w:r>
        <w:rPr>
          <w:rStyle w:val="FootnoteReference"/>
        </w:rPr>
        <w:footnoteRef/>
      </w:r>
      <w:r>
        <w:t xml:space="preserve"> </w:t>
      </w:r>
      <w:r w:rsidRPr="00866ABA">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91">
    <w:p w14:paraId="10B37E22" w14:textId="74347430" w:rsidR="00933ED2" w:rsidRPr="00C735ED" w:rsidRDefault="00933ED2" w:rsidP="00B2260E">
      <w:pPr>
        <w:pStyle w:val="FootnoteText"/>
      </w:pPr>
      <w:r>
        <w:rPr>
          <w:rStyle w:val="FootnoteReference"/>
        </w:rPr>
        <w:footnoteRef/>
      </w:r>
      <w:r>
        <w:t xml:space="preserve"> </w:t>
      </w:r>
      <w:r w:rsidR="00C46E49">
        <w:tab/>
      </w:r>
      <w:r w:rsidRPr="00E5162E">
        <w:t>Congress (2025b)</w:t>
      </w:r>
      <w:r>
        <w:t>.</w:t>
      </w:r>
    </w:p>
  </w:footnote>
  <w:footnote w:id="192">
    <w:p w14:paraId="50FA9CA7" w14:textId="77777777" w:rsidR="00933ED2" w:rsidRPr="00715D1C" w:rsidRDefault="00933ED2" w:rsidP="00B2260E">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2" w:history="1">
        <w:r w:rsidRPr="00101918">
          <w:rPr>
            <w:rStyle w:val="Hyperlink"/>
          </w:rPr>
          <w:t>website</w:t>
        </w:r>
      </w:hyperlink>
      <w:r w:rsidRPr="00101918">
        <w:t xml:space="preserve"> of the Council of Europe.</w:t>
      </w:r>
      <w:r>
        <w:t xml:space="preserve"> </w:t>
      </w:r>
    </w:p>
  </w:footnote>
  <w:footnote w:id="193">
    <w:p w14:paraId="3958A100" w14:textId="77777777" w:rsidR="00933ED2" w:rsidRPr="00715D1C" w:rsidRDefault="00933ED2" w:rsidP="00B2260E">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rsidRPr="00C060E2">
        <w:t>European Implementation Network (2026)</w:t>
      </w:r>
      <w:r>
        <w:t>, written input</w:t>
      </w:r>
      <w:r w:rsidRPr="00715D1C">
        <w:t xml:space="preserve">, p. </w:t>
      </w:r>
      <w:r>
        <w:t>8.</w:t>
      </w:r>
    </w:p>
  </w:footnote>
  <w:footnote w:id="194">
    <w:p w14:paraId="18255591" w14:textId="157928A2" w:rsidR="00933ED2" w:rsidRPr="00715D1C" w:rsidRDefault="00933ED2" w:rsidP="00B2260E">
      <w:pPr>
        <w:pStyle w:val="FootnoteText"/>
      </w:pPr>
      <w:r w:rsidRPr="00715D1C">
        <w:rPr>
          <w:rStyle w:val="FootnoteReference"/>
        </w:rPr>
        <w:footnoteRef/>
      </w:r>
      <w:r w:rsidRPr="00715D1C">
        <w:t xml:space="preserve"> </w:t>
      </w:r>
      <w:r>
        <w:tab/>
      </w:r>
      <w:r w:rsidRPr="00715D1C">
        <w:t xml:space="preserve">Judgment of the </w:t>
      </w:r>
      <w:r>
        <w:t>ECtHR</w:t>
      </w:r>
      <w:r w:rsidRPr="00715D1C">
        <w:t xml:space="preserve">, </w:t>
      </w:r>
      <w:r w:rsidRPr="00C66D16">
        <w:t>6528/11</w:t>
      </w:r>
      <w:r w:rsidRPr="00715D1C">
        <w:t xml:space="preserve">, </w:t>
      </w:r>
      <w:r w:rsidRPr="00C66D16">
        <w:rPr>
          <w:i/>
        </w:rPr>
        <w:t>A.C. and Others v. Spain</w:t>
      </w:r>
      <w:r w:rsidRPr="00C66D16">
        <w:t xml:space="preserve">, </w:t>
      </w:r>
      <w:r w:rsidRPr="00715D1C">
        <w:t xml:space="preserve">pending implementation since </w:t>
      </w:r>
      <w:r>
        <w:t>2014</w:t>
      </w:r>
      <w:r w:rsidRPr="00715D1C">
        <w:t xml:space="preserve">. </w:t>
      </w:r>
      <w:r w:rsidR="006F1C8F" w:rsidRPr="006F1C8F">
        <w:t>The Council of Europe is examining the case and has requested comments from Spain by 30 October 2026</w:t>
      </w:r>
      <w:r w:rsidR="006F1C8F">
        <w:t>.</w:t>
      </w:r>
    </w:p>
  </w:footnote>
  <w:footnote w:id="195">
    <w:p w14:paraId="6B5069F9" w14:textId="77777777" w:rsidR="00933ED2" w:rsidRPr="00087412" w:rsidRDefault="00933ED2" w:rsidP="00B2260E">
      <w:pPr>
        <w:pStyle w:val="FootnoteText"/>
      </w:pPr>
      <w:r>
        <w:rPr>
          <w:rStyle w:val="FootnoteReference"/>
        </w:rPr>
        <w:footnoteRef/>
      </w:r>
      <w:r>
        <w:t xml:space="preserve"> </w:t>
      </w:r>
      <w:r>
        <w:tab/>
      </w:r>
      <w:r w:rsidRPr="00781007">
        <w:t>Council of Europe: Committee of Ministers (2026)</w:t>
      </w:r>
      <w:r>
        <w:t xml:space="preserve">, </w:t>
      </w:r>
      <w:r w:rsidRPr="00076076">
        <w:t>p</w:t>
      </w:r>
      <w:r w:rsidRPr="00E45C7A">
        <w:t>. 163.</w:t>
      </w:r>
    </w:p>
  </w:footnote>
  <w:footnote w:id="196">
    <w:p w14:paraId="06FE6E8C" w14:textId="77777777" w:rsidR="00933ED2" w:rsidRPr="00715D1C" w:rsidRDefault="00933ED2" w:rsidP="00B2260E">
      <w:pPr>
        <w:pStyle w:val="FootnoteText"/>
      </w:pPr>
      <w:r w:rsidRPr="00715D1C">
        <w:rPr>
          <w:rStyle w:val="FootnoteReference"/>
        </w:rPr>
        <w:footnoteRef/>
      </w:r>
      <w:r w:rsidRPr="00715D1C">
        <w:t xml:space="preserve"> </w:t>
      </w:r>
      <w:r>
        <w:tab/>
      </w:r>
      <w:r w:rsidRPr="00715D1C">
        <w:t>Data according to the online database of the Council of Europe (HUDOC).</w:t>
      </w:r>
    </w:p>
  </w:footnote>
  <w:footnote w:id="197">
    <w:p w14:paraId="69E3925A" w14:textId="6CEC3E91" w:rsidR="00933ED2" w:rsidRPr="009044AE" w:rsidRDefault="00933ED2" w:rsidP="00B2260E">
      <w:pPr>
        <w:pStyle w:val="FootnoteText"/>
        <w:rPr>
          <w:lang w:val="en-IE"/>
        </w:rPr>
      </w:pPr>
      <w:r>
        <w:rPr>
          <w:rStyle w:val="FootnoteReference"/>
        </w:rPr>
        <w:footnoteRef/>
      </w:r>
      <w:r>
        <w:rPr>
          <w:lang w:val="en-IE"/>
        </w:rPr>
        <w:tab/>
        <w:t>OECD (2025), p.</w:t>
      </w:r>
      <w:r w:rsidR="00C466BA">
        <w:rPr>
          <w:lang w:val="en-IE"/>
        </w:rPr>
        <w:t xml:space="preserve"> </w:t>
      </w:r>
      <w:r>
        <w:rPr>
          <w:lang w:val="en-IE"/>
        </w:rPr>
        <w:t xml:space="preserve">180. </w:t>
      </w:r>
      <w:r w:rsidRPr="5A44FE1F">
        <w:rPr>
          <w:rFonts w:eastAsia="Calibri"/>
        </w:rPr>
        <w:t>In 2025, a minimum 15-day period for public consultation</w:t>
      </w:r>
      <w:r>
        <w:rPr>
          <w:rFonts w:eastAsia="Calibri"/>
        </w:rPr>
        <w:t xml:space="preserve"> was introduced by legislative amendment, </w:t>
      </w:r>
      <w:r>
        <w:rPr>
          <w:lang w:val="en-IE"/>
        </w:rPr>
        <w:t>Spanish Government (2026), written input, p. 41.</w:t>
      </w:r>
    </w:p>
  </w:footnote>
  <w:footnote w:id="198">
    <w:p w14:paraId="5A7267F3" w14:textId="77777777" w:rsidR="00933ED2" w:rsidRPr="00A94121" w:rsidRDefault="00933ED2" w:rsidP="00B2260E">
      <w:pPr>
        <w:pStyle w:val="FootnoteText"/>
      </w:pPr>
      <w:r>
        <w:rPr>
          <w:rStyle w:val="FootnoteReference"/>
        </w:rPr>
        <w:footnoteRef/>
      </w:r>
      <w:r>
        <w:tab/>
        <w:t xml:space="preserve">Country visit Spain, CCOO, CEOE, CEPYME, </w:t>
      </w:r>
      <w:r w:rsidRPr="00A60C6F">
        <w:rPr>
          <w:lang w:val="en-IE"/>
        </w:rPr>
        <w:t>Coordinator of Non-Governmental Organisations for Development in Spain</w:t>
      </w:r>
      <w:r>
        <w:rPr>
          <w:lang w:val="en-IE"/>
        </w:rPr>
        <w:t xml:space="preserve"> and </w:t>
      </w:r>
      <w:r w:rsidRPr="00A60C6F">
        <w:rPr>
          <w:lang w:val="en-IE"/>
        </w:rPr>
        <w:t>Platform “Tercer Sector”</w:t>
      </w:r>
      <w:r>
        <w:rPr>
          <w:lang w:val="en-IE"/>
        </w:rPr>
        <w:t>.</w:t>
      </w:r>
    </w:p>
  </w:footnote>
  <w:footnote w:id="199">
    <w:p w14:paraId="720ACCA3" w14:textId="77777777" w:rsidR="00933ED2" w:rsidRPr="006317E2" w:rsidRDefault="00933ED2" w:rsidP="00B2260E">
      <w:pPr>
        <w:pStyle w:val="FootnoteText"/>
      </w:pPr>
      <w:r>
        <w:rPr>
          <w:rStyle w:val="FootnoteReference"/>
        </w:rPr>
        <w:footnoteRef/>
      </w:r>
      <w:r>
        <w:t xml:space="preserve"> </w:t>
      </w:r>
      <w:r>
        <w:tab/>
      </w:r>
      <w:r>
        <w:rPr>
          <w:lang w:eastAsia="fr-FR"/>
        </w:rPr>
        <w:t>The Ombudsperson</w:t>
      </w:r>
      <w:r w:rsidRPr="0ECCCFF5">
        <w:rPr>
          <w:lang w:eastAsia="fr-FR"/>
        </w:rPr>
        <w:t xml:space="preserve"> </w:t>
      </w:r>
      <w:r w:rsidRPr="00727516">
        <w:rPr>
          <w:lang w:eastAsia="fr-FR"/>
        </w:rPr>
        <w:t>published its annual report in March 2026</w:t>
      </w:r>
      <w:r>
        <w:rPr>
          <w:lang w:eastAsia="fr-FR"/>
        </w:rPr>
        <w:t>.</w:t>
      </w:r>
    </w:p>
  </w:footnote>
  <w:footnote w:id="200">
    <w:p w14:paraId="2359709E" w14:textId="4258F17D" w:rsidR="00933ED2" w:rsidRPr="0096077E" w:rsidRDefault="00933ED2" w:rsidP="00B2260E">
      <w:pPr>
        <w:pStyle w:val="FootnoteText"/>
      </w:pPr>
      <w:r>
        <w:rPr>
          <w:rStyle w:val="FootnoteReference"/>
        </w:rPr>
        <w:footnoteRef/>
      </w:r>
      <w:r>
        <w:t xml:space="preserve"> </w:t>
      </w:r>
      <w:r>
        <w:tab/>
        <w:t xml:space="preserve">This relates to cases </w:t>
      </w:r>
      <w:r w:rsidRPr="002260FE">
        <w:t>of sexual abuse within the Catholic Church</w:t>
      </w:r>
      <w:r>
        <w:t>.</w:t>
      </w:r>
      <w:r w:rsidRPr="002260FE">
        <w:t xml:space="preserve"> </w:t>
      </w:r>
      <w:r w:rsidRPr="007028AD">
        <w:t xml:space="preserve">Ministry of </w:t>
      </w:r>
      <w:r w:rsidR="00E17CCA" w:rsidRPr="00E17CCA">
        <w:t>the Presidency, Justice and Relations with the Parliament</w:t>
      </w:r>
      <w:r w:rsidRPr="007028AD">
        <w:t xml:space="preserve"> (2026b)</w:t>
      </w:r>
      <w:r>
        <w:t>.</w:t>
      </w:r>
    </w:p>
  </w:footnote>
  <w:footnote w:id="201">
    <w:p w14:paraId="39422A5A" w14:textId="77777777" w:rsidR="00933ED2" w:rsidRPr="009F2DC5" w:rsidRDefault="00933ED2" w:rsidP="00B2260E">
      <w:pPr>
        <w:pStyle w:val="FootnoteText"/>
        <w:rPr>
          <w:lang w:val="en-IE"/>
        </w:rPr>
      </w:pPr>
      <w:r>
        <w:rPr>
          <w:rStyle w:val="FootnoteReference"/>
        </w:rPr>
        <w:footnoteRef/>
      </w:r>
      <w:r>
        <w:t xml:space="preserve"> </w:t>
      </w:r>
      <w:r>
        <w:tab/>
      </w:r>
      <w:r>
        <w:rPr>
          <w:lang w:val="en-IE"/>
        </w:rPr>
        <w:t>Spanish Government (2026), written input, pp. 47-48.</w:t>
      </w:r>
    </w:p>
  </w:footnote>
  <w:footnote w:id="202">
    <w:p w14:paraId="3A5F8714" w14:textId="4195CBE4" w:rsidR="00933ED2" w:rsidRPr="005106B4" w:rsidRDefault="00933ED2" w:rsidP="00B2260E">
      <w:pPr>
        <w:pStyle w:val="FootnoteText"/>
        <w:rPr>
          <w:lang w:val="en-IE"/>
        </w:rPr>
      </w:pPr>
      <w:r>
        <w:rPr>
          <w:rStyle w:val="FootnoteReference"/>
        </w:rPr>
        <w:footnoteRef/>
      </w:r>
      <w:r>
        <w:t xml:space="preserve"> </w:t>
      </w:r>
      <w:r>
        <w:tab/>
      </w:r>
      <w:r w:rsidR="00AD58BB">
        <w:t>Spain’s</w:t>
      </w:r>
      <w:r>
        <w:t xml:space="preserve"> score is 68/100. </w:t>
      </w:r>
      <w:r>
        <w:rPr>
          <w:lang w:val="en-IE"/>
        </w:rPr>
        <w:t xml:space="preserve">Ratings by CIVICUS are on a five-category scale defined as: </w:t>
      </w:r>
      <w:r w:rsidRPr="007F7B95">
        <w:t>open, narrowed, obstructed, repressed and closed</w:t>
      </w:r>
      <w:r>
        <w:t>.</w:t>
      </w:r>
    </w:p>
  </w:footnote>
  <w:footnote w:id="203">
    <w:p w14:paraId="7DCDCF92" w14:textId="77777777" w:rsidR="00933ED2" w:rsidRPr="00FF1FB7" w:rsidRDefault="00933ED2" w:rsidP="00B2260E">
      <w:pPr>
        <w:pStyle w:val="FootnoteText"/>
      </w:pPr>
      <w:r>
        <w:rPr>
          <w:rStyle w:val="FootnoteReference"/>
        </w:rPr>
        <w:footnoteRef/>
      </w:r>
      <w:r>
        <w:t xml:space="preserve"> </w:t>
      </w:r>
      <w:r>
        <w:tab/>
        <w:t>Ombudsperson (2026), written input, p. 3.</w:t>
      </w:r>
    </w:p>
  </w:footnote>
  <w:footnote w:id="204">
    <w:p w14:paraId="5BA114EA" w14:textId="467ECD57" w:rsidR="00933ED2" w:rsidRPr="00C43B79" w:rsidRDefault="00933ED2" w:rsidP="00B2260E">
      <w:pPr>
        <w:pStyle w:val="FootnoteText"/>
        <w:rPr>
          <w:lang w:val="en-IE"/>
        </w:rPr>
      </w:pPr>
      <w:r>
        <w:rPr>
          <w:rStyle w:val="FootnoteReference"/>
        </w:rPr>
        <w:footnoteRef/>
      </w:r>
      <w:r>
        <w:t xml:space="preserve"> </w:t>
      </w:r>
      <w:r>
        <w:rPr>
          <w:lang w:val="en-IE"/>
        </w:rPr>
        <w:tab/>
      </w:r>
      <w:r w:rsidR="004E6C39" w:rsidRPr="004E6C39">
        <w:rPr>
          <w:lang w:val="en-IE"/>
        </w:rPr>
        <w:t>F</w:t>
      </w:r>
      <w:r w:rsidR="004E6C39">
        <w:rPr>
          <w:lang w:val="en-IE"/>
        </w:rPr>
        <w:t>undamental Rights Agency (</w:t>
      </w:r>
      <w:r w:rsidR="004E6C39" w:rsidRPr="004E6C39">
        <w:rPr>
          <w:lang w:val="en-IE"/>
        </w:rPr>
        <w:t>2026</w:t>
      </w:r>
      <w:r w:rsidR="004E6C39">
        <w:rPr>
          <w:lang w:val="en-IE"/>
        </w:rPr>
        <w:t xml:space="preserve">), written input, pp. 3-4; </w:t>
      </w:r>
      <w:r w:rsidRPr="001E05E6">
        <w:t>Civil Liberties Union for Europe (2026), p</w:t>
      </w:r>
      <w:r>
        <w:t>. 805; European Civic Forum (2026), written input, pp. 7-9.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54244" w14:textId="77777777" w:rsidR="00985696" w:rsidRPr="00985696" w:rsidRDefault="00985696" w:rsidP="0098569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631F7" w14:textId="77777777" w:rsidR="00985696" w:rsidRPr="00985696" w:rsidRDefault="00985696" w:rsidP="0098569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4E7B3" w14:textId="77777777" w:rsidR="00985696" w:rsidRPr="00985696" w:rsidRDefault="00985696" w:rsidP="0098569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AF091" w14:textId="4A9671B4" w:rsidR="00933ED2" w:rsidRDefault="00933E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59491" w14:textId="0894E0E8" w:rsidR="00933ED2" w:rsidRPr="00B919C1" w:rsidRDefault="00933ED2">
    <w:pPr>
      <w:pStyle w:val="Header"/>
      <w:jc w:val="right"/>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1A271" w14:textId="1C5A2DA9" w:rsidR="00933ED2" w:rsidRDefault="00933E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1BFB"/>
    <w:multiLevelType w:val="hybridMultilevel"/>
    <w:tmpl w:val="3182BEA4"/>
    <w:lvl w:ilvl="0" w:tplc="12940CB4">
      <w:start w:val="1"/>
      <w:numFmt w:val="decimal"/>
      <w:lvlText w:val="%1."/>
      <w:lvlJc w:val="left"/>
      <w:pPr>
        <w:ind w:left="720" w:hanging="360"/>
      </w:pPr>
    </w:lvl>
    <w:lvl w:ilvl="1" w:tplc="C7A0D208">
      <w:start w:val="1"/>
      <w:numFmt w:val="decimal"/>
      <w:lvlText w:val="%2."/>
      <w:lvlJc w:val="left"/>
      <w:pPr>
        <w:ind w:left="720" w:hanging="360"/>
      </w:pPr>
    </w:lvl>
    <w:lvl w:ilvl="2" w:tplc="0D1648B6">
      <w:start w:val="1"/>
      <w:numFmt w:val="decimal"/>
      <w:lvlText w:val="%3."/>
      <w:lvlJc w:val="left"/>
      <w:pPr>
        <w:ind w:left="720" w:hanging="360"/>
      </w:pPr>
    </w:lvl>
    <w:lvl w:ilvl="3" w:tplc="E3EC8906">
      <w:start w:val="1"/>
      <w:numFmt w:val="decimal"/>
      <w:lvlText w:val="%4."/>
      <w:lvlJc w:val="left"/>
      <w:pPr>
        <w:ind w:left="720" w:hanging="360"/>
      </w:pPr>
    </w:lvl>
    <w:lvl w:ilvl="4" w:tplc="2EA490B2">
      <w:start w:val="1"/>
      <w:numFmt w:val="decimal"/>
      <w:lvlText w:val="%5."/>
      <w:lvlJc w:val="left"/>
      <w:pPr>
        <w:ind w:left="720" w:hanging="360"/>
      </w:pPr>
    </w:lvl>
    <w:lvl w:ilvl="5" w:tplc="79AE8540">
      <w:start w:val="1"/>
      <w:numFmt w:val="decimal"/>
      <w:lvlText w:val="%6."/>
      <w:lvlJc w:val="left"/>
      <w:pPr>
        <w:ind w:left="720" w:hanging="360"/>
      </w:pPr>
    </w:lvl>
    <w:lvl w:ilvl="6" w:tplc="8A543CF8">
      <w:start w:val="1"/>
      <w:numFmt w:val="decimal"/>
      <w:lvlText w:val="%7."/>
      <w:lvlJc w:val="left"/>
      <w:pPr>
        <w:ind w:left="720" w:hanging="360"/>
      </w:pPr>
    </w:lvl>
    <w:lvl w:ilvl="7" w:tplc="6EDC5C1C">
      <w:start w:val="1"/>
      <w:numFmt w:val="decimal"/>
      <w:lvlText w:val="%8."/>
      <w:lvlJc w:val="left"/>
      <w:pPr>
        <w:ind w:left="720" w:hanging="360"/>
      </w:pPr>
    </w:lvl>
    <w:lvl w:ilvl="8" w:tplc="2F08CAB2">
      <w:start w:val="1"/>
      <w:numFmt w:val="decimal"/>
      <w:lvlText w:val="%9."/>
      <w:lvlJc w:val="left"/>
      <w:pPr>
        <w:ind w:left="720" w:hanging="360"/>
      </w:pPr>
    </w:lvl>
  </w:abstractNum>
  <w:abstractNum w:abstractNumId="1"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D8963AC"/>
    <w:multiLevelType w:val="hybridMultilevel"/>
    <w:tmpl w:val="F2F06FE4"/>
    <w:lvl w:ilvl="0" w:tplc="18090013">
      <w:start w:val="1"/>
      <w:numFmt w:val="upperRoman"/>
      <w:lvlText w:val="%1."/>
      <w:lvlJc w:val="right"/>
      <w:pPr>
        <w:ind w:left="643"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3"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5D96119"/>
    <w:multiLevelType w:val="hybridMultilevel"/>
    <w:tmpl w:val="7F02CD30"/>
    <w:lvl w:ilvl="0" w:tplc="3BE408F6">
      <w:start w:val="1"/>
      <w:numFmt w:val="decimal"/>
      <w:lvlText w:val="%1)"/>
      <w:lvlJc w:val="left"/>
      <w:pPr>
        <w:ind w:left="1020" w:hanging="360"/>
      </w:pPr>
    </w:lvl>
    <w:lvl w:ilvl="1" w:tplc="2CB2F124">
      <w:start w:val="1"/>
      <w:numFmt w:val="decimal"/>
      <w:lvlText w:val="%2)"/>
      <w:lvlJc w:val="left"/>
      <w:pPr>
        <w:ind w:left="1020" w:hanging="360"/>
      </w:pPr>
    </w:lvl>
    <w:lvl w:ilvl="2" w:tplc="B4688970">
      <w:start w:val="1"/>
      <w:numFmt w:val="decimal"/>
      <w:lvlText w:val="%3)"/>
      <w:lvlJc w:val="left"/>
      <w:pPr>
        <w:ind w:left="1020" w:hanging="360"/>
      </w:pPr>
    </w:lvl>
    <w:lvl w:ilvl="3" w:tplc="F0883C44">
      <w:start w:val="1"/>
      <w:numFmt w:val="decimal"/>
      <w:lvlText w:val="%4)"/>
      <w:lvlJc w:val="left"/>
      <w:pPr>
        <w:ind w:left="1020" w:hanging="360"/>
      </w:pPr>
    </w:lvl>
    <w:lvl w:ilvl="4" w:tplc="72F22A9C">
      <w:start w:val="1"/>
      <w:numFmt w:val="decimal"/>
      <w:lvlText w:val="%5)"/>
      <w:lvlJc w:val="left"/>
      <w:pPr>
        <w:ind w:left="1020" w:hanging="360"/>
      </w:pPr>
    </w:lvl>
    <w:lvl w:ilvl="5" w:tplc="1A3A9FE2">
      <w:start w:val="1"/>
      <w:numFmt w:val="decimal"/>
      <w:lvlText w:val="%6)"/>
      <w:lvlJc w:val="left"/>
      <w:pPr>
        <w:ind w:left="1020" w:hanging="360"/>
      </w:pPr>
    </w:lvl>
    <w:lvl w:ilvl="6" w:tplc="07CC5F92">
      <w:start w:val="1"/>
      <w:numFmt w:val="decimal"/>
      <w:lvlText w:val="%7)"/>
      <w:lvlJc w:val="left"/>
      <w:pPr>
        <w:ind w:left="1020" w:hanging="360"/>
      </w:pPr>
    </w:lvl>
    <w:lvl w:ilvl="7" w:tplc="B85C13A0">
      <w:start w:val="1"/>
      <w:numFmt w:val="decimal"/>
      <w:lvlText w:val="%8)"/>
      <w:lvlJc w:val="left"/>
      <w:pPr>
        <w:ind w:left="1020" w:hanging="360"/>
      </w:pPr>
    </w:lvl>
    <w:lvl w:ilvl="8" w:tplc="46186AF8">
      <w:start w:val="1"/>
      <w:numFmt w:val="decimal"/>
      <w:lvlText w:val="%9)"/>
      <w:lvlJc w:val="left"/>
      <w:pPr>
        <w:ind w:left="1020" w:hanging="360"/>
      </w:pPr>
    </w:lvl>
  </w:abstractNum>
  <w:abstractNum w:abstractNumId="9"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AC3924"/>
    <w:multiLevelType w:val="hybridMultilevel"/>
    <w:tmpl w:val="A26A4438"/>
    <w:lvl w:ilvl="0" w:tplc="9724C164">
      <w:start w:val="1"/>
      <w:numFmt w:val="decimal"/>
      <w:lvlText w:val="%1."/>
      <w:lvlJc w:val="left"/>
      <w:pPr>
        <w:ind w:left="1020" w:hanging="360"/>
      </w:pPr>
    </w:lvl>
    <w:lvl w:ilvl="1" w:tplc="95323FA0">
      <w:start w:val="1"/>
      <w:numFmt w:val="decimal"/>
      <w:lvlText w:val="%2."/>
      <w:lvlJc w:val="left"/>
      <w:pPr>
        <w:ind w:left="1020" w:hanging="360"/>
      </w:pPr>
    </w:lvl>
    <w:lvl w:ilvl="2" w:tplc="6FD25436">
      <w:start w:val="1"/>
      <w:numFmt w:val="decimal"/>
      <w:lvlText w:val="%3."/>
      <w:lvlJc w:val="left"/>
      <w:pPr>
        <w:ind w:left="1020" w:hanging="360"/>
      </w:pPr>
    </w:lvl>
    <w:lvl w:ilvl="3" w:tplc="28465966">
      <w:start w:val="1"/>
      <w:numFmt w:val="decimal"/>
      <w:lvlText w:val="%4."/>
      <w:lvlJc w:val="left"/>
      <w:pPr>
        <w:ind w:left="1020" w:hanging="360"/>
      </w:pPr>
    </w:lvl>
    <w:lvl w:ilvl="4" w:tplc="351CDF1A">
      <w:start w:val="1"/>
      <w:numFmt w:val="decimal"/>
      <w:lvlText w:val="%5."/>
      <w:lvlJc w:val="left"/>
      <w:pPr>
        <w:ind w:left="1020" w:hanging="360"/>
      </w:pPr>
    </w:lvl>
    <w:lvl w:ilvl="5" w:tplc="78B07904">
      <w:start w:val="1"/>
      <w:numFmt w:val="decimal"/>
      <w:lvlText w:val="%6."/>
      <w:lvlJc w:val="left"/>
      <w:pPr>
        <w:ind w:left="1020" w:hanging="360"/>
      </w:pPr>
    </w:lvl>
    <w:lvl w:ilvl="6" w:tplc="EC46D680">
      <w:start w:val="1"/>
      <w:numFmt w:val="decimal"/>
      <w:lvlText w:val="%7."/>
      <w:lvlJc w:val="left"/>
      <w:pPr>
        <w:ind w:left="1020" w:hanging="360"/>
      </w:pPr>
    </w:lvl>
    <w:lvl w:ilvl="7" w:tplc="6C58F560">
      <w:start w:val="1"/>
      <w:numFmt w:val="decimal"/>
      <w:lvlText w:val="%8."/>
      <w:lvlJc w:val="left"/>
      <w:pPr>
        <w:ind w:left="1020" w:hanging="360"/>
      </w:pPr>
    </w:lvl>
    <w:lvl w:ilvl="8" w:tplc="FF2E47C2">
      <w:start w:val="1"/>
      <w:numFmt w:val="decimal"/>
      <w:lvlText w:val="%9."/>
      <w:lvlJc w:val="left"/>
      <w:pPr>
        <w:ind w:left="1020" w:hanging="360"/>
      </w:pPr>
    </w:lvl>
  </w:abstractNum>
  <w:abstractNum w:abstractNumId="12" w15:restartNumberingAfterBreak="0">
    <w:nsid w:val="226A73CC"/>
    <w:multiLevelType w:val="hybridMultilevel"/>
    <w:tmpl w:val="755011D6"/>
    <w:lvl w:ilvl="0" w:tplc="7C08D638">
      <w:start w:val="1"/>
      <w:numFmt w:val="decimal"/>
      <w:lvlText w:val="%1."/>
      <w:lvlJc w:val="left"/>
      <w:pPr>
        <w:ind w:left="720" w:hanging="360"/>
      </w:pPr>
    </w:lvl>
    <w:lvl w:ilvl="1" w:tplc="D5E4338E">
      <w:start w:val="1"/>
      <w:numFmt w:val="decimal"/>
      <w:lvlText w:val="%2."/>
      <w:lvlJc w:val="left"/>
      <w:pPr>
        <w:ind w:left="720" w:hanging="360"/>
      </w:pPr>
    </w:lvl>
    <w:lvl w:ilvl="2" w:tplc="34A2937A">
      <w:start w:val="1"/>
      <w:numFmt w:val="decimal"/>
      <w:lvlText w:val="%3."/>
      <w:lvlJc w:val="left"/>
      <w:pPr>
        <w:ind w:left="720" w:hanging="360"/>
      </w:pPr>
    </w:lvl>
    <w:lvl w:ilvl="3" w:tplc="5BCADC0E">
      <w:start w:val="1"/>
      <w:numFmt w:val="decimal"/>
      <w:lvlText w:val="%4."/>
      <w:lvlJc w:val="left"/>
      <w:pPr>
        <w:ind w:left="720" w:hanging="360"/>
      </w:pPr>
    </w:lvl>
    <w:lvl w:ilvl="4" w:tplc="AC2C89B0">
      <w:start w:val="1"/>
      <w:numFmt w:val="decimal"/>
      <w:lvlText w:val="%5."/>
      <w:lvlJc w:val="left"/>
      <w:pPr>
        <w:ind w:left="720" w:hanging="360"/>
      </w:pPr>
    </w:lvl>
    <w:lvl w:ilvl="5" w:tplc="9B548250">
      <w:start w:val="1"/>
      <w:numFmt w:val="decimal"/>
      <w:lvlText w:val="%6."/>
      <w:lvlJc w:val="left"/>
      <w:pPr>
        <w:ind w:left="720" w:hanging="360"/>
      </w:pPr>
    </w:lvl>
    <w:lvl w:ilvl="6" w:tplc="CA26C1C8">
      <w:start w:val="1"/>
      <w:numFmt w:val="decimal"/>
      <w:lvlText w:val="%7."/>
      <w:lvlJc w:val="left"/>
      <w:pPr>
        <w:ind w:left="720" w:hanging="360"/>
      </w:pPr>
    </w:lvl>
    <w:lvl w:ilvl="7" w:tplc="9814CB40">
      <w:start w:val="1"/>
      <w:numFmt w:val="decimal"/>
      <w:lvlText w:val="%8."/>
      <w:lvlJc w:val="left"/>
      <w:pPr>
        <w:ind w:left="720" w:hanging="360"/>
      </w:pPr>
    </w:lvl>
    <w:lvl w:ilvl="8" w:tplc="CFACA776">
      <w:start w:val="1"/>
      <w:numFmt w:val="decimal"/>
      <w:lvlText w:val="%9."/>
      <w:lvlJc w:val="left"/>
      <w:pPr>
        <w:ind w:left="720" w:hanging="360"/>
      </w:pPr>
    </w:lvl>
  </w:abstractNum>
  <w:abstractNum w:abstractNumId="13" w15:restartNumberingAfterBreak="0">
    <w:nsid w:val="257A6385"/>
    <w:multiLevelType w:val="hybridMultilevel"/>
    <w:tmpl w:val="F9083F32"/>
    <w:lvl w:ilvl="0" w:tplc="51489F8A">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CD944AD"/>
    <w:multiLevelType w:val="hybridMultilevel"/>
    <w:tmpl w:val="C12EAC42"/>
    <w:lvl w:ilvl="0" w:tplc="E06EA05E">
      <w:start w:val="1"/>
      <w:numFmt w:val="decimal"/>
      <w:lvlText w:val="%1."/>
      <w:lvlJc w:val="left"/>
      <w:pPr>
        <w:ind w:left="720" w:hanging="360"/>
      </w:pPr>
    </w:lvl>
    <w:lvl w:ilvl="1" w:tplc="C1B84A86">
      <w:start w:val="1"/>
      <w:numFmt w:val="decimal"/>
      <w:lvlText w:val="%2."/>
      <w:lvlJc w:val="left"/>
      <w:pPr>
        <w:ind w:left="720" w:hanging="360"/>
      </w:pPr>
    </w:lvl>
    <w:lvl w:ilvl="2" w:tplc="50309C2E">
      <w:start w:val="1"/>
      <w:numFmt w:val="decimal"/>
      <w:lvlText w:val="%3."/>
      <w:lvlJc w:val="left"/>
      <w:pPr>
        <w:ind w:left="720" w:hanging="360"/>
      </w:pPr>
    </w:lvl>
    <w:lvl w:ilvl="3" w:tplc="0652B8B8">
      <w:start w:val="1"/>
      <w:numFmt w:val="decimal"/>
      <w:lvlText w:val="%4."/>
      <w:lvlJc w:val="left"/>
      <w:pPr>
        <w:ind w:left="720" w:hanging="360"/>
      </w:pPr>
    </w:lvl>
    <w:lvl w:ilvl="4" w:tplc="DABACABC">
      <w:start w:val="1"/>
      <w:numFmt w:val="decimal"/>
      <w:lvlText w:val="%5."/>
      <w:lvlJc w:val="left"/>
      <w:pPr>
        <w:ind w:left="720" w:hanging="360"/>
      </w:pPr>
    </w:lvl>
    <w:lvl w:ilvl="5" w:tplc="146A842C">
      <w:start w:val="1"/>
      <w:numFmt w:val="decimal"/>
      <w:lvlText w:val="%6."/>
      <w:lvlJc w:val="left"/>
      <w:pPr>
        <w:ind w:left="720" w:hanging="360"/>
      </w:pPr>
    </w:lvl>
    <w:lvl w:ilvl="6" w:tplc="EE7CA4C8">
      <w:start w:val="1"/>
      <w:numFmt w:val="decimal"/>
      <w:lvlText w:val="%7."/>
      <w:lvlJc w:val="left"/>
      <w:pPr>
        <w:ind w:left="720" w:hanging="360"/>
      </w:pPr>
    </w:lvl>
    <w:lvl w:ilvl="7" w:tplc="FF5E62CA">
      <w:start w:val="1"/>
      <w:numFmt w:val="decimal"/>
      <w:lvlText w:val="%8."/>
      <w:lvlJc w:val="left"/>
      <w:pPr>
        <w:ind w:left="720" w:hanging="360"/>
      </w:pPr>
    </w:lvl>
    <w:lvl w:ilvl="8" w:tplc="4E687EF2">
      <w:start w:val="1"/>
      <w:numFmt w:val="decimal"/>
      <w:lvlText w:val="%9."/>
      <w:lvlJc w:val="left"/>
      <w:pPr>
        <w:ind w:left="720" w:hanging="360"/>
      </w:pPr>
    </w:lvl>
  </w:abstractNum>
  <w:abstractNum w:abstractNumId="16"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9"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FCB210C"/>
    <w:multiLevelType w:val="hybridMultilevel"/>
    <w:tmpl w:val="EA3C966E"/>
    <w:lvl w:ilvl="0" w:tplc="9856C3FE">
      <w:start w:val="1"/>
      <w:numFmt w:val="decimal"/>
      <w:lvlText w:val="%1."/>
      <w:lvlJc w:val="left"/>
      <w:pPr>
        <w:ind w:left="1020" w:hanging="360"/>
      </w:pPr>
    </w:lvl>
    <w:lvl w:ilvl="1" w:tplc="9DD0AD32">
      <w:start w:val="1"/>
      <w:numFmt w:val="decimal"/>
      <w:lvlText w:val="%2."/>
      <w:lvlJc w:val="left"/>
      <w:pPr>
        <w:ind w:left="1020" w:hanging="360"/>
      </w:pPr>
    </w:lvl>
    <w:lvl w:ilvl="2" w:tplc="DA382704">
      <w:start w:val="1"/>
      <w:numFmt w:val="decimal"/>
      <w:lvlText w:val="%3."/>
      <w:lvlJc w:val="left"/>
      <w:pPr>
        <w:ind w:left="1020" w:hanging="360"/>
      </w:pPr>
    </w:lvl>
    <w:lvl w:ilvl="3" w:tplc="22906784">
      <w:start w:val="1"/>
      <w:numFmt w:val="decimal"/>
      <w:lvlText w:val="%4."/>
      <w:lvlJc w:val="left"/>
      <w:pPr>
        <w:ind w:left="1020" w:hanging="360"/>
      </w:pPr>
    </w:lvl>
    <w:lvl w:ilvl="4" w:tplc="A4FE18F4">
      <w:start w:val="1"/>
      <w:numFmt w:val="decimal"/>
      <w:lvlText w:val="%5."/>
      <w:lvlJc w:val="left"/>
      <w:pPr>
        <w:ind w:left="1020" w:hanging="360"/>
      </w:pPr>
    </w:lvl>
    <w:lvl w:ilvl="5" w:tplc="AE3A7902">
      <w:start w:val="1"/>
      <w:numFmt w:val="decimal"/>
      <w:lvlText w:val="%6."/>
      <w:lvlJc w:val="left"/>
      <w:pPr>
        <w:ind w:left="1020" w:hanging="360"/>
      </w:pPr>
    </w:lvl>
    <w:lvl w:ilvl="6" w:tplc="C08099D2">
      <w:start w:val="1"/>
      <w:numFmt w:val="decimal"/>
      <w:lvlText w:val="%7."/>
      <w:lvlJc w:val="left"/>
      <w:pPr>
        <w:ind w:left="1020" w:hanging="360"/>
      </w:pPr>
    </w:lvl>
    <w:lvl w:ilvl="7" w:tplc="B7CCB900">
      <w:start w:val="1"/>
      <w:numFmt w:val="decimal"/>
      <w:lvlText w:val="%8."/>
      <w:lvlJc w:val="left"/>
      <w:pPr>
        <w:ind w:left="1020" w:hanging="360"/>
      </w:pPr>
    </w:lvl>
    <w:lvl w:ilvl="8" w:tplc="C20245D0">
      <w:start w:val="1"/>
      <w:numFmt w:val="decimal"/>
      <w:lvlText w:val="%9."/>
      <w:lvlJc w:val="left"/>
      <w:pPr>
        <w:ind w:left="1020" w:hanging="360"/>
      </w:pPr>
    </w:lvl>
  </w:abstractNum>
  <w:abstractNum w:abstractNumId="24"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AD92225"/>
    <w:multiLevelType w:val="hybridMultilevel"/>
    <w:tmpl w:val="34FABCDE"/>
    <w:lvl w:ilvl="0" w:tplc="3044F4C2">
      <w:start w:val="1"/>
      <w:numFmt w:val="decimal"/>
      <w:lvlText w:val="%1."/>
      <w:lvlJc w:val="left"/>
      <w:pPr>
        <w:ind w:left="1020" w:hanging="360"/>
      </w:pPr>
    </w:lvl>
    <w:lvl w:ilvl="1" w:tplc="6ADE4428">
      <w:start w:val="1"/>
      <w:numFmt w:val="decimal"/>
      <w:lvlText w:val="%2."/>
      <w:lvlJc w:val="left"/>
      <w:pPr>
        <w:ind w:left="1020" w:hanging="360"/>
      </w:pPr>
    </w:lvl>
    <w:lvl w:ilvl="2" w:tplc="389C1290">
      <w:start w:val="1"/>
      <w:numFmt w:val="decimal"/>
      <w:lvlText w:val="%3."/>
      <w:lvlJc w:val="left"/>
      <w:pPr>
        <w:ind w:left="1020" w:hanging="360"/>
      </w:pPr>
    </w:lvl>
    <w:lvl w:ilvl="3" w:tplc="87B6BAF2">
      <w:start w:val="1"/>
      <w:numFmt w:val="decimal"/>
      <w:lvlText w:val="%4."/>
      <w:lvlJc w:val="left"/>
      <w:pPr>
        <w:ind w:left="1020" w:hanging="360"/>
      </w:pPr>
    </w:lvl>
    <w:lvl w:ilvl="4" w:tplc="673A7838">
      <w:start w:val="1"/>
      <w:numFmt w:val="decimal"/>
      <w:lvlText w:val="%5."/>
      <w:lvlJc w:val="left"/>
      <w:pPr>
        <w:ind w:left="1020" w:hanging="360"/>
      </w:pPr>
    </w:lvl>
    <w:lvl w:ilvl="5" w:tplc="89A4B930">
      <w:start w:val="1"/>
      <w:numFmt w:val="decimal"/>
      <w:lvlText w:val="%6."/>
      <w:lvlJc w:val="left"/>
      <w:pPr>
        <w:ind w:left="1020" w:hanging="360"/>
      </w:pPr>
    </w:lvl>
    <w:lvl w:ilvl="6" w:tplc="E54051B6">
      <w:start w:val="1"/>
      <w:numFmt w:val="decimal"/>
      <w:lvlText w:val="%7."/>
      <w:lvlJc w:val="left"/>
      <w:pPr>
        <w:ind w:left="1020" w:hanging="360"/>
      </w:pPr>
    </w:lvl>
    <w:lvl w:ilvl="7" w:tplc="249CF05A">
      <w:start w:val="1"/>
      <w:numFmt w:val="decimal"/>
      <w:lvlText w:val="%8."/>
      <w:lvlJc w:val="left"/>
      <w:pPr>
        <w:ind w:left="1020" w:hanging="360"/>
      </w:pPr>
    </w:lvl>
    <w:lvl w:ilvl="8" w:tplc="58447C08">
      <w:start w:val="1"/>
      <w:numFmt w:val="decimal"/>
      <w:lvlText w:val="%9."/>
      <w:lvlJc w:val="left"/>
      <w:pPr>
        <w:ind w:left="1020" w:hanging="360"/>
      </w:pPr>
    </w:lvl>
  </w:abstractNum>
  <w:abstractNum w:abstractNumId="26"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AB35C3E"/>
    <w:multiLevelType w:val="hybridMultilevel"/>
    <w:tmpl w:val="F26489C6"/>
    <w:lvl w:ilvl="0" w:tplc="EABCBF4C">
      <w:start w:val="1"/>
      <w:numFmt w:val="decimal"/>
      <w:lvlText w:val="%1."/>
      <w:lvlJc w:val="left"/>
      <w:pPr>
        <w:ind w:left="720" w:hanging="360"/>
      </w:pPr>
    </w:lvl>
    <w:lvl w:ilvl="1" w:tplc="5088C5FC">
      <w:start w:val="1"/>
      <w:numFmt w:val="decimal"/>
      <w:lvlText w:val="%2."/>
      <w:lvlJc w:val="left"/>
      <w:pPr>
        <w:ind w:left="720" w:hanging="360"/>
      </w:pPr>
    </w:lvl>
    <w:lvl w:ilvl="2" w:tplc="E880211E">
      <w:start w:val="1"/>
      <w:numFmt w:val="decimal"/>
      <w:lvlText w:val="%3."/>
      <w:lvlJc w:val="left"/>
      <w:pPr>
        <w:ind w:left="720" w:hanging="360"/>
      </w:pPr>
    </w:lvl>
    <w:lvl w:ilvl="3" w:tplc="F3F81B02">
      <w:start w:val="1"/>
      <w:numFmt w:val="decimal"/>
      <w:lvlText w:val="%4."/>
      <w:lvlJc w:val="left"/>
      <w:pPr>
        <w:ind w:left="720" w:hanging="360"/>
      </w:pPr>
    </w:lvl>
    <w:lvl w:ilvl="4" w:tplc="87C4E314">
      <w:start w:val="1"/>
      <w:numFmt w:val="decimal"/>
      <w:lvlText w:val="%5."/>
      <w:lvlJc w:val="left"/>
      <w:pPr>
        <w:ind w:left="720" w:hanging="360"/>
      </w:pPr>
    </w:lvl>
    <w:lvl w:ilvl="5" w:tplc="1318D048">
      <w:start w:val="1"/>
      <w:numFmt w:val="decimal"/>
      <w:lvlText w:val="%6."/>
      <w:lvlJc w:val="left"/>
      <w:pPr>
        <w:ind w:left="720" w:hanging="360"/>
      </w:pPr>
    </w:lvl>
    <w:lvl w:ilvl="6" w:tplc="E8E41616">
      <w:start w:val="1"/>
      <w:numFmt w:val="decimal"/>
      <w:lvlText w:val="%7."/>
      <w:lvlJc w:val="left"/>
      <w:pPr>
        <w:ind w:left="720" w:hanging="360"/>
      </w:pPr>
    </w:lvl>
    <w:lvl w:ilvl="7" w:tplc="88F24650">
      <w:start w:val="1"/>
      <w:numFmt w:val="decimal"/>
      <w:lvlText w:val="%8."/>
      <w:lvlJc w:val="left"/>
      <w:pPr>
        <w:ind w:left="720" w:hanging="360"/>
      </w:pPr>
    </w:lvl>
    <w:lvl w:ilvl="8" w:tplc="DED415F0">
      <w:start w:val="1"/>
      <w:numFmt w:val="decimal"/>
      <w:lvlText w:val="%9."/>
      <w:lvlJc w:val="left"/>
      <w:pPr>
        <w:ind w:left="720" w:hanging="360"/>
      </w:pPr>
    </w:lvl>
  </w:abstractNum>
  <w:abstractNum w:abstractNumId="30" w15:restartNumberingAfterBreak="0">
    <w:nsid w:val="5F9E07A0"/>
    <w:multiLevelType w:val="hybridMultilevel"/>
    <w:tmpl w:val="B9EE5124"/>
    <w:lvl w:ilvl="0" w:tplc="32868514">
      <w:start w:val="1"/>
      <w:numFmt w:val="upp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2" w15:restartNumberingAfterBreak="0">
    <w:nsid w:val="62B62274"/>
    <w:multiLevelType w:val="hybridMultilevel"/>
    <w:tmpl w:val="F63CF498"/>
    <w:lvl w:ilvl="0" w:tplc="FA96F432">
      <w:start w:val="1"/>
      <w:numFmt w:val="decimal"/>
      <w:lvlText w:val="%1."/>
      <w:lvlJc w:val="left"/>
      <w:pPr>
        <w:ind w:left="1020" w:hanging="360"/>
      </w:pPr>
    </w:lvl>
    <w:lvl w:ilvl="1" w:tplc="BEAECAEC">
      <w:start w:val="1"/>
      <w:numFmt w:val="decimal"/>
      <w:lvlText w:val="%2."/>
      <w:lvlJc w:val="left"/>
      <w:pPr>
        <w:ind w:left="1020" w:hanging="360"/>
      </w:pPr>
    </w:lvl>
    <w:lvl w:ilvl="2" w:tplc="567C41FA">
      <w:start w:val="1"/>
      <w:numFmt w:val="decimal"/>
      <w:lvlText w:val="%3."/>
      <w:lvlJc w:val="left"/>
      <w:pPr>
        <w:ind w:left="1020" w:hanging="360"/>
      </w:pPr>
    </w:lvl>
    <w:lvl w:ilvl="3" w:tplc="7D6C332A">
      <w:start w:val="1"/>
      <w:numFmt w:val="decimal"/>
      <w:lvlText w:val="%4."/>
      <w:lvlJc w:val="left"/>
      <w:pPr>
        <w:ind w:left="1020" w:hanging="360"/>
      </w:pPr>
    </w:lvl>
    <w:lvl w:ilvl="4" w:tplc="51E4087A">
      <w:start w:val="1"/>
      <w:numFmt w:val="decimal"/>
      <w:lvlText w:val="%5."/>
      <w:lvlJc w:val="left"/>
      <w:pPr>
        <w:ind w:left="1020" w:hanging="360"/>
      </w:pPr>
    </w:lvl>
    <w:lvl w:ilvl="5" w:tplc="817E265A">
      <w:start w:val="1"/>
      <w:numFmt w:val="decimal"/>
      <w:lvlText w:val="%6."/>
      <w:lvlJc w:val="left"/>
      <w:pPr>
        <w:ind w:left="1020" w:hanging="360"/>
      </w:pPr>
    </w:lvl>
    <w:lvl w:ilvl="6" w:tplc="BE3EF9DC">
      <w:start w:val="1"/>
      <w:numFmt w:val="decimal"/>
      <w:lvlText w:val="%7."/>
      <w:lvlJc w:val="left"/>
      <w:pPr>
        <w:ind w:left="1020" w:hanging="360"/>
      </w:pPr>
    </w:lvl>
    <w:lvl w:ilvl="7" w:tplc="24DA42E2">
      <w:start w:val="1"/>
      <w:numFmt w:val="decimal"/>
      <w:lvlText w:val="%8."/>
      <w:lvlJc w:val="left"/>
      <w:pPr>
        <w:ind w:left="1020" w:hanging="360"/>
      </w:pPr>
    </w:lvl>
    <w:lvl w:ilvl="8" w:tplc="403E1722">
      <w:start w:val="1"/>
      <w:numFmt w:val="decimal"/>
      <w:lvlText w:val="%9."/>
      <w:lvlJc w:val="left"/>
      <w:pPr>
        <w:ind w:left="1020" w:hanging="360"/>
      </w:pPr>
    </w:lvl>
  </w:abstractNum>
  <w:abstractNum w:abstractNumId="33" w15:restartNumberingAfterBreak="0">
    <w:nsid w:val="64A71707"/>
    <w:multiLevelType w:val="hybridMultilevel"/>
    <w:tmpl w:val="2E109F1A"/>
    <w:lvl w:ilvl="0" w:tplc="4F3C2992">
      <w:start w:val="1"/>
      <w:numFmt w:val="decimal"/>
      <w:lvlText w:val="%1."/>
      <w:lvlJc w:val="left"/>
      <w:pPr>
        <w:ind w:left="720" w:hanging="360"/>
      </w:pPr>
    </w:lvl>
    <w:lvl w:ilvl="1" w:tplc="5108F74E">
      <w:start w:val="1"/>
      <w:numFmt w:val="decimal"/>
      <w:lvlText w:val="%2."/>
      <w:lvlJc w:val="left"/>
      <w:pPr>
        <w:ind w:left="720" w:hanging="360"/>
      </w:pPr>
    </w:lvl>
    <w:lvl w:ilvl="2" w:tplc="23C0E1FA">
      <w:start w:val="1"/>
      <w:numFmt w:val="decimal"/>
      <w:lvlText w:val="%3."/>
      <w:lvlJc w:val="left"/>
      <w:pPr>
        <w:ind w:left="720" w:hanging="360"/>
      </w:pPr>
    </w:lvl>
    <w:lvl w:ilvl="3" w:tplc="C610DD3E">
      <w:start w:val="1"/>
      <w:numFmt w:val="decimal"/>
      <w:lvlText w:val="%4."/>
      <w:lvlJc w:val="left"/>
      <w:pPr>
        <w:ind w:left="720" w:hanging="360"/>
      </w:pPr>
    </w:lvl>
    <w:lvl w:ilvl="4" w:tplc="4DECC048">
      <w:start w:val="1"/>
      <w:numFmt w:val="decimal"/>
      <w:lvlText w:val="%5."/>
      <w:lvlJc w:val="left"/>
      <w:pPr>
        <w:ind w:left="720" w:hanging="360"/>
      </w:pPr>
    </w:lvl>
    <w:lvl w:ilvl="5" w:tplc="3930799C">
      <w:start w:val="1"/>
      <w:numFmt w:val="decimal"/>
      <w:lvlText w:val="%6."/>
      <w:lvlJc w:val="left"/>
      <w:pPr>
        <w:ind w:left="720" w:hanging="360"/>
      </w:pPr>
    </w:lvl>
    <w:lvl w:ilvl="6" w:tplc="FBFA2CFA">
      <w:start w:val="1"/>
      <w:numFmt w:val="decimal"/>
      <w:lvlText w:val="%7."/>
      <w:lvlJc w:val="left"/>
      <w:pPr>
        <w:ind w:left="720" w:hanging="360"/>
      </w:pPr>
    </w:lvl>
    <w:lvl w:ilvl="7" w:tplc="C91E1518">
      <w:start w:val="1"/>
      <w:numFmt w:val="decimal"/>
      <w:lvlText w:val="%8."/>
      <w:lvlJc w:val="left"/>
      <w:pPr>
        <w:ind w:left="720" w:hanging="360"/>
      </w:pPr>
    </w:lvl>
    <w:lvl w:ilvl="8" w:tplc="A85AFCD2">
      <w:start w:val="1"/>
      <w:numFmt w:val="decimal"/>
      <w:lvlText w:val="%9."/>
      <w:lvlJc w:val="left"/>
      <w:pPr>
        <w:ind w:left="720" w:hanging="360"/>
      </w:pPr>
    </w:lvl>
  </w:abstractNum>
  <w:abstractNum w:abstractNumId="34"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8" w15:restartNumberingAfterBreak="0">
    <w:nsid w:val="7DD5251A"/>
    <w:multiLevelType w:val="hybridMultilevel"/>
    <w:tmpl w:val="446C6F4A"/>
    <w:lvl w:ilvl="0" w:tplc="DCB6D914">
      <w:start w:val="1"/>
      <w:numFmt w:val="decimal"/>
      <w:lvlText w:val="%1."/>
      <w:lvlJc w:val="left"/>
      <w:pPr>
        <w:ind w:left="1020" w:hanging="360"/>
      </w:pPr>
    </w:lvl>
    <w:lvl w:ilvl="1" w:tplc="89E4909E">
      <w:start w:val="1"/>
      <w:numFmt w:val="decimal"/>
      <w:lvlText w:val="%2."/>
      <w:lvlJc w:val="left"/>
      <w:pPr>
        <w:ind w:left="1020" w:hanging="360"/>
      </w:pPr>
    </w:lvl>
    <w:lvl w:ilvl="2" w:tplc="96943D4E">
      <w:start w:val="1"/>
      <w:numFmt w:val="decimal"/>
      <w:lvlText w:val="%3."/>
      <w:lvlJc w:val="left"/>
      <w:pPr>
        <w:ind w:left="1020" w:hanging="360"/>
      </w:pPr>
    </w:lvl>
    <w:lvl w:ilvl="3" w:tplc="647657BA">
      <w:start w:val="1"/>
      <w:numFmt w:val="decimal"/>
      <w:lvlText w:val="%4."/>
      <w:lvlJc w:val="left"/>
      <w:pPr>
        <w:ind w:left="1020" w:hanging="360"/>
      </w:pPr>
    </w:lvl>
    <w:lvl w:ilvl="4" w:tplc="138C4972">
      <w:start w:val="1"/>
      <w:numFmt w:val="decimal"/>
      <w:lvlText w:val="%5."/>
      <w:lvlJc w:val="left"/>
      <w:pPr>
        <w:ind w:left="1020" w:hanging="360"/>
      </w:pPr>
    </w:lvl>
    <w:lvl w:ilvl="5" w:tplc="F1562678">
      <w:start w:val="1"/>
      <w:numFmt w:val="decimal"/>
      <w:lvlText w:val="%6."/>
      <w:lvlJc w:val="left"/>
      <w:pPr>
        <w:ind w:left="1020" w:hanging="360"/>
      </w:pPr>
    </w:lvl>
    <w:lvl w:ilvl="6" w:tplc="3556AD70">
      <w:start w:val="1"/>
      <w:numFmt w:val="decimal"/>
      <w:lvlText w:val="%7."/>
      <w:lvlJc w:val="left"/>
      <w:pPr>
        <w:ind w:left="1020" w:hanging="360"/>
      </w:pPr>
    </w:lvl>
    <w:lvl w:ilvl="7" w:tplc="4F721A20">
      <w:start w:val="1"/>
      <w:numFmt w:val="decimal"/>
      <w:lvlText w:val="%8."/>
      <w:lvlJc w:val="left"/>
      <w:pPr>
        <w:ind w:left="1020" w:hanging="360"/>
      </w:pPr>
    </w:lvl>
    <w:lvl w:ilvl="8" w:tplc="B89250B2">
      <w:start w:val="1"/>
      <w:numFmt w:val="decimal"/>
      <w:lvlText w:val="%9."/>
      <w:lvlJc w:val="left"/>
      <w:pPr>
        <w:ind w:left="1020" w:hanging="360"/>
      </w:pPr>
    </w:lvl>
  </w:abstractNum>
  <w:num w:numId="1">
    <w:abstractNumId w:val="37"/>
  </w:num>
  <w:num w:numId="2">
    <w:abstractNumId w:val="17"/>
  </w:num>
  <w:num w:numId="3">
    <w:abstractNumId w:val="16"/>
  </w:num>
  <w:num w:numId="4">
    <w:abstractNumId w:val="36"/>
  </w:num>
  <w:num w:numId="5">
    <w:abstractNumId w:val="26"/>
  </w:num>
  <w:num w:numId="6">
    <w:abstractNumId w:val="22"/>
  </w:num>
  <w:num w:numId="7">
    <w:abstractNumId w:val="14"/>
  </w:num>
  <w:num w:numId="8">
    <w:abstractNumId w:val="6"/>
  </w:num>
  <w:num w:numId="9">
    <w:abstractNumId w:val="5"/>
  </w:num>
  <w:num w:numId="10">
    <w:abstractNumId w:val="4"/>
  </w:num>
  <w:num w:numId="11">
    <w:abstractNumId w:val="24"/>
  </w:num>
  <w:num w:numId="12">
    <w:abstractNumId w:val="9"/>
  </w:num>
  <w:num w:numId="13">
    <w:abstractNumId w:val="3"/>
  </w:num>
  <w:num w:numId="14">
    <w:abstractNumId w:val="34"/>
  </w:num>
  <w:num w:numId="15">
    <w:abstractNumId w:val="28"/>
  </w:num>
  <w:num w:numId="16">
    <w:abstractNumId w:val="20"/>
  </w:num>
  <w:num w:numId="17">
    <w:abstractNumId w:val="10"/>
  </w:num>
  <w:num w:numId="18">
    <w:abstractNumId w:val="19"/>
  </w:num>
  <w:num w:numId="19">
    <w:abstractNumId w:val="1"/>
  </w:num>
  <w:num w:numId="20">
    <w:abstractNumId w:val="18"/>
  </w:num>
  <w:num w:numId="21">
    <w:abstractNumId w:val="7"/>
  </w:num>
  <w:num w:numId="22">
    <w:abstractNumId w:val="21"/>
  </w:num>
  <w:num w:numId="23">
    <w:abstractNumId w:val="35"/>
  </w:num>
  <w:num w:numId="24">
    <w:abstractNumId w:val="27"/>
  </w:num>
  <w:num w:numId="25">
    <w:abstractNumId w:val="31"/>
  </w:num>
  <w:num w:numId="26">
    <w:abstractNumId w:val="30"/>
  </w:num>
  <w:num w:numId="27">
    <w:abstractNumId w:val="25"/>
  </w:num>
  <w:num w:numId="28">
    <w:abstractNumId w:val="23"/>
  </w:num>
  <w:num w:numId="29">
    <w:abstractNumId w:val="33"/>
  </w:num>
  <w:num w:numId="30">
    <w:abstractNumId w:val="29"/>
  </w:num>
  <w:num w:numId="31">
    <w:abstractNumId w:val="12"/>
  </w:num>
  <w:num w:numId="32">
    <w:abstractNumId w:val="0"/>
  </w:num>
  <w:num w:numId="33">
    <w:abstractNumId w:val="38"/>
  </w:num>
  <w:num w:numId="34">
    <w:abstractNumId w:val="15"/>
  </w:num>
  <w:num w:numId="35">
    <w:abstractNumId w:val="32"/>
  </w:num>
  <w:num w:numId="36">
    <w:abstractNumId w:val="11"/>
  </w:num>
  <w:num w:numId="37">
    <w:abstractNumId w:val="8"/>
  </w:num>
  <w:num w:numId="38">
    <w:abstractNumId w:val="2"/>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09D61D89-08E1-45EF-A09B-35BE032CCE8D"/>
    <w:docVar w:name="LW_COVERPAGE_TYPE" w:val="1"/>
    <w:docVar w:name="LW_CROSSREFERENCE" w:val="{COM(2026) 900 final} - {SWD(2026) 901 final} - {SWD(2026) 902 final} - {SWD(2026) 903 final} - {SWD(2026) 904 final} - {SWD(2026) 905 final} - {SWD(2026) 906 final} - {SWD(2026) 907 final} - {SWD(2026) 908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b_Country Chapter on the rule of law situation in Spain"/>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925"/>
    <w:rsid w:val="00003692"/>
    <w:rsid w:val="00004C45"/>
    <w:rsid w:val="00005A40"/>
    <w:rsid w:val="000060E5"/>
    <w:rsid w:val="00007ACA"/>
    <w:rsid w:val="00011207"/>
    <w:rsid w:val="00011AA6"/>
    <w:rsid w:val="0001396F"/>
    <w:rsid w:val="0001625B"/>
    <w:rsid w:val="000206CA"/>
    <w:rsid w:val="00021A7D"/>
    <w:rsid w:val="00023BB0"/>
    <w:rsid w:val="0002431C"/>
    <w:rsid w:val="000246F1"/>
    <w:rsid w:val="00024B1A"/>
    <w:rsid w:val="00027108"/>
    <w:rsid w:val="00027184"/>
    <w:rsid w:val="00027652"/>
    <w:rsid w:val="00034726"/>
    <w:rsid w:val="0004136A"/>
    <w:rsid w:val="0004144D"/>
    <w:rsid w:val="00041E02"/>
    <w:rsid w:val="00042B62"/>
    <w:rsid w:val="000431FB"/>
    <w:rsid w:val="00044D77"/>
    <w:rsid w:val="00045411"/>
    <w:rsid w:val="00045898"/>
    <w:rsid w:val="00045E7B"/>
    <w:rsid w:val="0004639A"/>
    <w:rsid w:val="000465A7"/>
    <w:rsid w:val="00047C13"/>
    <w:rsid w:val="00047CE4"/>
    <w:rsid w:val="00047F2C"/>
    <w:rsid w:val="00052DEC"/>
    <w:rsid w:val="00055731"/>
    <w:rsid w:val="00055C9B"/>
    <w:rsid w:val="0005628E"/>
    <w:rsid w:val="000572FC"/>
    <w:rsid w:val="000611D6"/>
    <w:rsid w:val="00061498"/>
    <w:rsid w:val="00063262"/>
    <w:rsid w:val="000640C3"/>
    <w:rsid w:val="00064802"/>
    <w:rsid w:val="000656A9"/>
    <w:rsid w:val="00067685"/>
    <w:rsid w:val="00071047"/>
    <w:rsid w:val="000736AD"/>
    <w:rsid w:val="00080DBD"/>
    <w:rsid w:val="000817C5"/>
    <w:rsid w:val="000830E3"/>
    <w:rsid w:val="00084EBD"/>
    <w:rsid w:val="000875DA"/>
    <w:rsid w:val="00087E01"/>
    <w:rsid w:val="000953E3"/>
    <w:rsid w:val="0009617E"/>
    <w:rsid w:val="000A0F2F"/>
    <w:rsid w:val="000A1C0E"/>
    <w:rsid w:val="000A3005"/>
    <w:rsid w:val="000A403F"/>
    <w:rsid w:val="000A4111"/>
    <w:rsid w:val="000A5AF9"/>
    <w:rsid w:val="000A60A2"/>
    <w:rsid w:val="000A60E5"/>
    <w:rsid w:val="000A75D1"/>
    <w:rsid w:val="000B0E53"/>
    <w:rsid w:val="000B1155"/>
    <w:rsid w:val="000B12DD"/>
    <w:rsid w:val="000B25D2"/>
    <w:rsid w:val="000B3239"/>
    <w:rsid w:val="000B526D"/>
    <w:rsid w:val="000B544F"/>
    <w:rsid w:val="000B63E5"/>
    <w:rsid w:val="000B686D"/>
    <w:rsid w:val="000B7180"/>
    <w:rsid w:val="000C0189"/>
    <w:rsid w:val="000C1CB1"/>
    <w:rsid w:val="000C4C29"/>
    <w:rsid w:val="000C518A"/>
    <w:rsid w:val="000C53DF"/>
    <w:rsid w:val="000C5683"/>
    <w:rsid w:val="000C624C"/>
    <w:rsid w:val="000C6FD8"/>
    <w:rsid w:val="000D22A4"/>
    <w:rsid w:val="000D31FA"/>
    <w:rsid w:val="000D3F33"/>
    <w:rsid w:val="000D471E"/>
    <w:rsid w:val="000D727B"/>
    <w:rsid w:val="000D7DFD"/>
    <w:rsid w:val="000E14BD"/>
    <w:rsid w:val="000E1BA5"/>
    <w:rsid w:val="000E1C3E"/>
    <w:rsid w:val="000E61EC"/>
    <w:rsid w:val="000E634C"/>
    <w:rsid w:val="000F1D84"/>
    <w:rsid w:val="00101E69"/>
    <w:rsid w:val="00102058"/>
    <w:rsid w:val="001021B5"/>
    <w:rsid w:val="00103026"/>
    <w:rsid w:val="00103422"/>
    <w:rsid w:val="00107481"/>
    <w:rsid w:val="00111F97"/>
    <w:rsid w:val="00112555"/>
    <w:rsid w:val="00114144"/>
    <w:rsid w:val="00115FE8"/>
    <w:rsid w:val="00125A25"/>
    <w:rsid w:val="00125A9A"/>
    <w:rsid w:val="00126A76"/>
    <w:rsid w:val="00126DF2"/>
    <w:rsid w:val="00127476"/>
    <w:rsid w:val="00127AB6"/>
    <w:rsid w:val="00131CD2"/>
    <w:rsid w:val="00132BB3"/>
    <w:rsid w:val="001345C3"/>
    <w:rsid w:val="00134752"/>
    <w:rsid w:val="00135032"/>
    <w:rsid w:val="00135069"/>
    <w:rsid w:val="00136ADB"/>
    <w:rsid w:val="00136B4D"/>
    <w:rsid w:val="00137424"/>
    <w:rsid w:val="00137A42"/>
    <w:rsid w:val="001418DB"/>
    <w:rsid w:val="001423D5"/>
    <w:rsid w:val="00142F3A"/>
    <w:rsid w:val="00143A78"/>
    <w:rsid w:val="00143ACC"/>
    <w:rsid w:val="00144098"/>
    <w:rsid w:val="00144B0C"/>
    <w:rsid w:val="00146D5A"/>
    <w:rsid w:val="00147A09"/>
    <w:rsid w:val="00152E38"/>
    <w:rsid w:val="00154EB8"/>
    <w:rsid w:val="00155973"/>
    <w:rsid w:val="00155A41"/>
    <w:rsid w:val="001572C3"/>
    <w:rsid w:val="00161CEE"/>
    <w:rsid w:val="00162382"/>
    <w:rsid w:val="00162A66"/>
    <w:rsid w:val="00165F6C"/>
    <w:rsid w:val="0016666C"/>
    <w:rsid w:val="0016696F"/>
    <w:rsid w:val="00166995"/>
    <w:rsid w:val="001670E7"/>
    <w:rsid w:val="00167757"/>
    <w:rsid w:val="00167D4F"/>
    <w:rsid w:val="0017129D"/>
    <w:rsid w:val="0017420E"/>
    <w:rsid w:val="00174E08"/>
    <w:rsid w:val="001776DA"/>
    <w:rsid w:val="00177B54"/>
    <w:rsid w:val="00180C84"/>
    <w:rsid w:val="001840DE"/>
    <w:rsid w:val="00184745"/>
    <w:rsid w:val="0018493E"/>
    <w:rsid w:val="00185AB6"/>
    <w:rsid w:val="001877F5"/>
    <w:rsid w:val="00187C2E"/>
    <w:rsid w:val="00187E97"/>
    <w:rsid w:val="0019007A"/>
    <w:rsid w:val="001913DE"/>
    <w:rsid w:val="001950CB"/>
    <w:rsid w:val="0019570B"/>
    <w:rsid w:val="00196425"/>
    <w:rsid w:val="001A2885"/>
    <w:rsid w:val="001A404C"/>
    <w:rsid w:val="001A4222"/>
    <w:rsid w:val="001A5C70"/>
    <w:rsid w:val="001A6D8F"/>
    <w:rsid w:val="001B1285"/>
    <w:rsid w:val="001B270E"/>
    <w:rsid w:val="001B2BDA"/>
    <w:rsid w:val="001B3099"/>
    <w:rsid w:val="001C04FF"/>
    <w:rsid w:val="001C095C"/>
    <w:rsid w:val="001C0FB6"/>
    <w:rsid w:val="001C1322"/>
    <w:rsid w:val="001C158C"/>
    <w:rsid w:val="001C1881"/>
    <w:rsid w:val="001C1B6D"/>
    <w:rsid w:val="001C1DFE"/>
    <w:rsid w:val="001C25E9"/>
    <w:rsid w:val="001C3BAE"/>
    <w:rsid w:val="001C6A07"/>
    <w:rsid w:val="001C7924"/>
    <w:rsid w:val="001D1D8E"/>
    <w:rsid w:val="001D2A2C"/>
    <w:rsid w:val="001D3255"/>
    <w:rsid w:val="001D3BD6"/>
    <w:rsid w:val="001D420C"/>
    <w:rsid w:val="001D5236"/>
    <w:rsid w:val="001D6205"/>
    <w:rsid w:val="001E0227"/>
    <w:rsid w:val="001E260E"/>
    <w:rsid w:val="001E388F"/>
    <w:rsid w:val="001E39B8"/>
    <w:rsid w:val="001E46EE"/>
    <w:rsid w:val="001E5FD1"/>
    <w:rsid w:val="001E63EB"/>
    <w:rsid w:val="001E7209"/>
    <w:rsid w:val="001F173F"/>
    <w:rsid w:val="001F193B"/>
    <w:rsid w:val="001F7364"/>
    <w:rsid w:val="002037F6"/>
    <w:rsid w:val="00205179"/>
    <w:rsid w:val="0020572A"/>
    <w:rsid w:val="0021131D"/>
    <w:rsid w:val="0021163A"/>
    <w:rsid w:val="0021172E"/>
    <w:rsid w:val="002129C2"/>
    <w:rsid w:val="00213267"/>
    <w:rsid w:val="00214070"/>
    <w:rsid w:val="0021476C"/>
    <w:rsid w:val="00214BE3"/>
    <w:rsid w:val="00216FCE"/>
    <w:rsid w:val="00220458"/>
    <w:rsid w:val="0022236A"/>
    <w:rsid w:val="002248E3"/>
    <w:rsid w:val="002264A5"/>
    <w:rsid w:val="00230B73"/>
    <w:rsid w:val="00231427"/>
    <w:rsid w:val="00233511"/>
    <w:rsid w:val="00233B97"/>
    <w:rsid w:val="002364A2"/>
    <w:rsid w:val="00240D17"/>
    <w:rsid w:val="00240EEB"/>
    <w:rsid w:val="00241423"/>
    <w:rsid w:val="0024147E"/>
    <w:rsid w:val="002435B8"/>
    <w:rsid w:val="002445B3"/>
    <w:rsid w:val="00244D54"/>
    <w:rsid w:val="00247898"/>
    <w:rsid w:val="00250501"/>
    <w:rsid w:val="002534EB"/>
    <w:rsid w:val="002553FC"/>
    <w:rsid w:val="00256F0A"/>
    <w:rsid w:val="002606B9"/>
    <w:rsid w:val="002645B0"/>
    <w:rsid w:val="0026596F"/>
    <w:rsid w:val="00265B48"/>
    <w:rsid w:val="0027178B"/>
    <w:rsid w:val="0027313B"/>
    <w:rsid w:val="00277C6D"/>
    <w:rsid w:val="00281A50"/>
    <w:rsid w:val="00285496"/>
    <w:rsid w:val="0028558E"/>
    <w:rsid w:val="002876C0"/>
    <w:rsid w:val="00287F67"/>
    <w:rsid w:val="0029081B"/>
    <w:rsid w:val="00291F0D"/>
    <w:rsid w:val="002928F9"/>
    <w:rsid w:val="00294AD3"/>
    <w:rsid w:val="0029581F"/>
    <w:rsid w:val="00295BBA"/>
    <w:rsid w:val="00297AAF"/>
    <w:rsid w:val="002A1578"/>
    <w:rsid w:val="002A1B8E"/>
    <w:rsid w:val="002A566C"/>
    <w:rsid w:val="002A6695"/>
    <w:rsid w:val="002B145D"/>
    <w:rsid w:val="002B1688"/>
    <w:rsid w:val="002B1EB1"/>
    <w:rsid w:val="002B2B64"/>
    <w:rsid w:val="002B2CDF"/>
    <w:rsid w:val="002B361B"/>
    <w:rsid w:val="002B403C"/>
    <w:rsid w:val="002B44FF"/>
    <w:rsid w:val="002B50CC"/>
    <w:rsid w:val="002B6166"/>
    <w:rsid w:val="002B6542"/>
    <w:rsid w:val="002B6D76"/>
    <w:rsid w:val="002B72CD"/>
    <w:rsid w:val="002C00BF"/>
    <w:rsid w:val="002C00D4"/>
    <w:rsid w:val="002C777C"/>
    <w:rsid w:val="002C796D"/>
    <w:rsid w:val="002C7C87"/>
    <w:rsid w:val="002D021D"/>
    <w:rsid w:val="002D09E9"/>
    <w:rsid w:val="002D0A58"/>
    <w:rsid w:val="002D0EA4"/>
    <w:rsid w:val="002D183B"/>
    <w:rsid w:val="002D2206"/>
    <w:rsid w:val="002D29F3"/>
    <w:rsid w:val="002D459F"/>
    <w:rsid w:val="002D763B"/>
    <w:rsid w:val="002E0F3D"/>
    <w:rsid w:val="002E180F"/>
    <w:rsid w:val="002E2490"/>
    <w:rsid w:val="002E3805"/>
    <w:rsid w:val="002E462A"/>
    <w:rsid w:val="002E463B"/>
    <w:rsid w:val="002E6A52"/>
    <w:rsid w:val="002E7538"/>
    <w:rsid w:val="002E7C88"/>
    <w:rsid w:val="002F0824"/>
    <w:rsid w:val="002F17DF"/>
    <w:rsid w:val="002F47D0"/>
    <w:rsid w:val="002F77E4"/>
    <w:rsid w:val="002F7D1C"/>
    <w:rsid w:val="00300EDC"/>
    <w:rsid w:val="00303B81"/>
    <w:rsid w:val="003065F3"/>
    <w:rsid w:val="00310318"/>
    <w:rsid w:val="00310AD6"/>
    <w:rsid w:val="00310ED3"/>
    <w:rsid w:val="00311043"/>
    <w:rsid w:val="00311EF9"/>
    <w:rsid w:val="003120D2"/>
    <w:rsid w:val="003137E7"/>
    <w:rsid w:val="00314CD3"/>
    <w:rsid w:val="00317071"/>
    <w:rsid w:val="003173E3"/>
    <w:rsid w:val="00317407"/>
    <w:rsid w:val="003202FA"/>
    <w:rsid w:val="00320EF7"/>
    <w:rsid w:val="003225E4"/>
    <w:rsid w:val="00322D67"/>
    <w:rsid w:val="003233A7"/>
    <w:rsid w:val="00324F15"/>
    <w:rsid w:val="003266CF"/>
    <w:rsid w:val="0033192A"/>
    <w:rsid w:val="00331974"/>
    <w:rsid w:val="00335907"/>
    <w:rsid w:val="00335D0D"/>
    <w:rsid w:val="003409BD"/>
    <w:rsid w:val="0034418A"/>
    <w:rsid w:val="003446F6"/>
    <w:rsid w:val="00344F28"/>
    <w:rsid w:val="0034650E"/>
    <w:rsid w:val="003477F2"/>
    <w:rsid w:val="00351654"/>
    <w:rsid w:val="003518DC"/>
    <w:rsid w:val="003526D0"/>
    <w:rsid w:val="00352F12"/>
    <w:rsid w:val="003533DE"/>
    <w:rsid w:val="0035521F"/>
    <w:rsid w:val="0035761E"/>
    <w:rsid w:val="00357D6B"/>
    <w:rsid w:val="00360681"/>
    <w:rsid w:val="003617AA"/>
    <w:rsid w:val="003619BE"/>
    <w:rsid w:val="00365BD2"/>
    <w:rsid w:val="00365C6B"/>
    <w:rsid w:val="00366D88"/>
    <w:rsid w:val="00367AC9"/>
    <w:rsid w:val="00370A29"/>
    <w:rsid w:val="00372902"/>
    <w:rsid w:val="003741AB"/>
    <w:rsid w:val="003742C1"/>
    <w:rsid w:val="003747A6"/>
    <w:rsid w:val="00374986"/>
    <w:rsid w:val="003751AC"/>
    <w:rsid w:val="0037743B"/>
    <w:rsid w:val="00377A3D"/>
    <w:rsid w:val="00377CA6"/>
    <w:rsid w:val="00377FF1"/>
    <w:rsid w:val="003834FD"/>
    <w:rsid w:val="00384835"/>
    <w:rsid w:val="003849B0"/>
    <w:rsid w:val="00384D54"/>
    <w:rsid w:val="00385740"/>
    <w:rsid w:val="0038636C"/>
    <w:rsid w:val="00390A86"/>
    <w:rsid w:val="0039244E"/>
    <w:rsid w:val="0039311F"/>
    <w:rsid w:val="00393CA1"/>
    <w:rsid w:val="00396E51"/>
    <w:rsid w:val="003978E9"/>
    <w:rsid w:val="003A07E5"/>
    <w:rsid w:val="003A08F0"/>
    <w:rsid w:val="003A30B3"/>
    <w:rsid w:val="003A42B2"/>
    <w:rsid w:val="003A5178"/>
    <w:rsid w:val="003A5F8B"/>
    <w:rsid w:val="003A5F92"/>
    <w:rsid w:val="003A68E4"/>
    <w:rsid w:val="003A6E27"/>
    <w:rsid w:val="003A6E67"/>
    <w:rsid w:val="003B022D"/>
    <w:rsid w:val="003B4F4A"/>
    <w:rsid w:val="003B68A4"/>
    <w:rsid w:val="003B7996"/>
    <w:rsid w:val="003C2025"/>
    <w:rsid w:val="003C2207"/>
    <w:rsid w:val="003C2222"/>
    <w:rsid w:val="003C26F3"/>
    <w:rsid w:val="003C2781"/>
    <w:rsid w:val="003C2CCA"/>
    <w:rsid w:val="003C33D9"/>
    <w:rsid w:val="003C435D"/>
    <w:rsid w:val="003C56C5"/>
    <w:rsid w:val="003C570A"/>
    <w:rsid w:val="003C5732"/>
    <w:rsid w:val="003C77F6"/>
    <w:rsid w:val="003D2249"/>
    <w:rsid w:val="003D2DE3"/>
    <w:rsid w:val="003D3B6F"/>
    <w:rsid w:val="003D45E4"/>
    <w:rsid w:val="003E1360"/>
    <w:rsid w:val="003E2A04"/>
    <w:rsid w:val="003E7287"/>
    <w:rsid w:val="003E7BD9"/>
    <w:rsid w:val="003F0908"/>
    <w:rsid w:val="003F28C2"/>
    <w:rsid w:val="003F2F7B"/>
    <w:rsid w:val="003F3BB4"/>
    <w:rsid w:val="003F6BC4"/>
    <w:rsid w:val="003F7C45"/>
    <w:rsid w:val="003F7E36"/>
    <w:rsid w:val="0040339B"/>
    <w:rsid w:val="00404188"/>
    <w:rsid w:val="00404913"/>
    <w:rsid w:val="00406FCD"/>
    <w:rsid w:val="00407232"/>
    <w:rsid w:val="004079D9"/>
    <w:rsid w:val="00407C90"/>
    <w:rsid w:val="0041016B"/>
    <w:rsid w:val="00411D93"/>
    <w:rsid w:val="00412701"/>
    <w:rsid w:val="00412F32"/>
    <w:rsid w:val="00413297"/>
    <w:rsid w:val="0041380E"/>
    <w:rsid w:val="00413A32"/>
    <w:rsid w:val="0041609A"/>
    <w:rsid w:val="004160BA"/>
    <w:rsid w:val="00417916"/>
    <w:rsid w:val="004203F8"/>
    <w:rsid w:val="004204C9"/>
    <w:rsid w:val="00422C56"/>
    <w:rsid w:val="00423788"/>
    <w:rsid w:val="004248AD"/>
    <w:rsid w:val="00424915"/>
    <w:rsid w:val="00424D1F"/>
    <w:rsid w:val="00425084"/>
    <w:rsid w:val="0042536C"/>
    <w:rsid w:val="00425A30"/>
    <w:rsid w:val="004261E5"/>
    <w:rsid w:val="00430568"/>
    <w:rsid w:val="00431EC4"/>
    <w:rsid w:val="00432FC4"/>
    <w:rsid w:val="00434940"/>
    <w:rsid w:val="00437292"/>
    <w:rsid w:val="004372C3"/>
    <w:rsid w:val="004372DB"/>
    <w:rsid w:val="0043784E"/>
    <w:rsid w:val="0044067F"/>
    <w:rsid w:val="00441F66"/>
    <w:rsid w:val="00442601"/>
    <w:rsid w:val="00442676"/>
    <w:rsid w:val="00442C53"/>
    <w:rsid w:val="0044310C"/>
    <w:rsid w:val="00443754"/>
    <w:rsid w:val="00446AB3"/>
    <w:rsid w:val="00447C4E"/>
    <w:rsid w:val="004500CB"/>
    <w:rsid w:val="0045074B"/>
    <w:rsid w:val="004507D8"/>
    <w:rsid w:val="0045150D"/>
    <w:rsid w:val="00453360"/>
    <w:rsid w:val="00453767"/>
    <w:rsid w:val="004541D6"/>
    <w:rsid w:val="00456686"/>
    <w:rsid w:val="00456C16"/>
    <w:rsid w:val="00460147"/>
    <w:rsid w:val="00460E89"/>
    <w:rsid w:val="00461E7F"/>
    <w:rsid w:val="004627D5"/>
    <w:rsid w:val="00462842"/>
    <w:rsid w:val="00462D04"/>
    <w:rsid w:val="00462FF7"/>
    <w:rsid w:val="004638A1"/>
    <w:rsid w:val="00464282"/>
    <w:rsid w:val="00465278"/>
    <w:rsid w:val="00466EBC"/>
    <w:rsid w:val="004673EC"/>
    <w:rsid w:val="004706D3"/>
    <w:rsid w:val="00470E33"/>
    <w:rsid w:val="004720D9"/>
    <w:rsid w:val="004752E1"/>
    <w:rsid w:val="00477E2E"/>
    <w:rsid w:val="0048028F"/>
    <w:rsid w:val="00481E82"/>
    <w:rsid w:val="004821FE"/>
    <w:rsid w:val="004841C3"/>
    <w:rsid w:val="0048474C"/>
    <w:rsid w:val="00484BE9"/>
    <w:rsid w:val="0048557B"/>
    <w:rsid w:val="00486AB8"/>
    <w:rsid w:val="004878AE"/>
    <w:rsid w:val="004906AF"/>
    <w:rsid w:val="0049161B"/>
    <w:rsid w:val="004919C9"/>
    <w:rsid w:val="00491CC7"/>
    <w:rsid w:val="00492758"/>
    <w:rsid w:val="0049462D"/>
    <w:rsid w:val="00495113"/>
    <w:rsid w:val="00495948"/>
    <w:rsid w:val="00495C6A"/>
    <w:rsid w:val="00497D3B"/>
    <w:rsid w:val="004A2F07"/>
    <w:rsid w:val="004A4FAF"/>
    <w:rsid w:val="004A53ED"/>
    <w:rsid w:val="004B0111"/>
    <w:rsid w:val="004B1CF0"/>
    <w:rsid w:val="004B2445"/>
    <w:rsid w:val="004B2B0E"/>
    <w:rsid w:val="004B2E9E"/>
    <w:rsid w:val="004B4C59"/>
    <w:rsid w:val="004B5F99"/>
    <w:rsid w:val="004B6A2D"/>
    <w:rsid w:val="004B74F5"/>
    <w:rsid w:val="004B77F0"/>
    <w:rsid w:val="004C054C"/>
    <w:rsid w:val="004C0A6B"/>
    <w:rsid w:val="004C1146"/>
    <w:rsid w:val="004C17B3"/>
    <w:rsid w:val="004C17D4"/>
    <w:rsid w:val="004C23BF"/>
    <w:rsid w:val="004C29F7"/>
    <w:rsid w:val="004C3C10"/>
    <w:rsid w:val="004C4657"/>
    <w:rsid w:val="004C4A4D"/>
    <w:rsid w:val="004C7F21"/>
    <w:rsid w:val="004D18CE"/>
    <w:rsid w:val="004D3928"/>
    <w:rsid w:val="004D414A"/>
    <w:rsid w:val="004D52E0"/>
    <w:rsid w:val="004D5867"/>
    <w:rsid w:val="004D5AF3"/>
    <w:rsid w:val="004D77B1"/>
    <w:rsid w:val="004D7CCA"/>
    <w:rsid w:val="004E1250"/>
    <w:rsid w:val="004E25B6"/>
    <w:rsid w:val="004E3577"/>
    <w:rsid w:val="004E4A4F"/>
    <w:rsid w:val="004E5168"/>
    <w:rsid w:val="004E5222"/>
    <w:rsid w:val="004E63C3"/>
    <w:rsid w:val="004E6C39"/>
    <w:rsid w:val="004E71DB"/>
    <w:rsid w:val="004F1662"/>
    <w:rsid w:val="004F1782"/>
    <w:rsid w:val="004F3D1E"/>
    <w:rsid w:val="004F418B"/>
    <w:rsid w:val="004F4629"/>
    <w:rsid w:val="004F51D0"/>
    <w:rsid w:val="004F53BC"/>
    <w:rsid w:val="004F73D5"/>
    <w:rsid w:val="00500086"/>
    <w:rsid w:val="00500CBA"/>
    <w:rsid w:val="00501A22"/>
    <w:rsid w:val="005023DF"/>
    <w:rsid w:val="005033CC"/>
    <w:rsid w:val="00503877"/>
    <w:rsid w:val="00503B96"/>
    <w:rsid w:val="00504968"/>
    <w:rsid w:val="005064CD"/>
    <w:rsid w:val="005066D7"/>
    <w:rsid w:val="00507FE9"/>
    <w:rsid w:val="00510533"/>
    <w:rsid w:val="00511833"/>
    <w:rsid w:val="0051287B"/>
    <w:rsid w:val="00513CBF"/>
    <w:rsid w:val="00514520"/>
    <w:rsid w:val="0051468E"/>
    <w:rsid w:val="005155DD"/>
    <w:rsid w:val="00515E56"/>
    <w:rsid w:val="00516B01"/>
    <w:rsid w:val="00517E7C"/>
    <w:rsid w:val="00521B59"/>
    <w:rsid w:val="005235FB"/>
    <w:rsid w:val="00524B3B"/>
    <w:rsid w:val="00525C11"/>
    <w:rsid w:val="00525C88"/>
    <w:rsid w:val="00526B1D"/>
    <w:rsid w:val="0052772E"/>
    <w:rsid w:val="00533CFC"/>
    <w:rsid w:val="00534999"/>
    <w:rsid w:val="0053520C"/>
    <w:rsid w:val="0053543C"/>
    <w:rsid w:val="00535D66"/>
    <w:rsid w:val="005366EB"/>
    <w:rsid w:val="00537156"/>
    <w:rsid w:val="005379AA"/>
    <w:rsid w:val="00537C1A"/>
    <w:rsid w:val="00540F0F"/>
    <w:rsid w:val="00541CB6"/>
    <w:rsid w:val="00541F4A"/>
    <w:rsid w:val="00542B78"/>
    <w:rsid w:val="005444EA"/>
    <w:rsid w:val="00545E66"/>
    <w:rsid w:val="00546672"/>
    <w:rsid w:val="00546EF3"/>
    <w:rsid w:val="00551F4F"/>
    <w:rsid w:val="00552424"/>
    <w:rsid w:val="00554757"/>
    <w:rsid w:val="00556617"/>
    <w:rsid w:val="005579A0"/>
    <w:rsid w:val="00557A12"/>
    <w:rsid w:val="005624E7"/>
    <w:rsid w:val="00562E10"/>
    <w:rsid w:val="0056423C"/>
    <w:rsid w:val="00564D33"/>
    <w:rsid w:val="00565507"/>
    <w:rsid w:val="0056575D"/>
    <w:rsid w:val="00566184"/>
    <w:rsid w:val="00567639"/>
    <w:rsid w:val="00570FC1"/>
    <w:rsid w:val="005710B2"/>
    <w:rsid w:val="0057323C"/>
    <w:rsid w:val="00573406"/>
    <w:rsid w:val="0057384E"/>
    <w:rsid w:val="005754FE"/>
    <w:rsid w:val="00575777"/>
    <w:rsid w:val="00575DA6"/>
    <w:rsid w:val="005764C0"/>
    <w:rsid w:val="00576E9E"/>
    <w:rsid w:val="005771C4"/>
    <w:rsid w:val="0058016E"/>
    <w:rsid w:val="00580474"/>
    <w:rsid w:val="00580B73"/>
    <w:rsid w:val="00583003"/>
    <w:rsid w:val="00583240"/>
    <w:rsid w:val="005841EB"/>
    <w:rsid w:val="005848F9"/>
    <w:rsid w:val="00585610"/>
    <w:rsid w:val="00586C31"/>
    <w:rsid w:val="0059035D"/>
    <w:rsid w:val="00591045"/>
    <w:rsid w:val="00591A8D"/>
    <w:rsid w:val="005924CA"/>
    <w:rsid w:val="005934D3"/>
    <w:rsid w:val="00593B23"/>
    <w:rsid w:val="0059444F"/>
    <w:rsid w:val="00597290"/>
    <w:rsid w:val="00597CAF"/>
    <w:rsid w:val="00597D43"/>
    <w:rsid w:val="005A1555"/>
    <w:rsid w:val="005A1EE1"/>
    <w:rsid w:val="005A2A66"/>
    <w:rsid w:val="005A2B48"/>
    <w:rsid w:val="005A61AF"/>
    <w:rsid w:val="005A6C19"/>
    <w:rsid w:val="005A7DD8"/>
    <w:rsid w:val="005A7FB3"/>
    <w:rsid w:val="005B1FC6"/>
    <w:rsid w:val="005B4305"/>
    <w:rsid w:val="005B73BE"/>
    <w:rsid w:val="005C121C"/>
    <w:rsid w:val="005C2B84"/>
    <w:rsid w:val="005C4D41"/>
    <w:rsid w:val="005C4EBE"/>
    <w:rsid w:val="005C5460"/>
    <w:rsid w:val="005C644B"/>
    <w:rsid w:val="005C6DB1"/>
    <w:rsid w:val="005C7AAE"/>
    <w:rsid w:val="005D0DBC"/>
    <w:rsid w:val="005D122E"/>
    <w:rsid w:val="005D18AD"/>
    <w:rsid w:val="005D1FEF"/>
    <w:rsid w:val="005D26DF"/>
    <w:rsid w:val="005D632D"/>
    <w:rsid w:val="005E1000"/>
    <w:rsid w:val="005E2A56"/>
    <w:rsid w:val="005E3D3A"/>
    <w:rsid w:val="005E4986"/>
    <w:rsid w:val="005E4DEC"/>
    <w:rsid w:val="005E4F5C"/>
    <w:rsid w:val="005E579F"/>
    <w:rsid w:val="005E773A"/>
    <w:rsid w:val="005E7AC0"/>
    <w:rsid w:val="005F0074"/>
    <w:rsid w:val="005F0205"/>
    <w:rsid w:val="005F0AB4"/>
    <w:rsid w:val="005F157A"/>
    <w:rsid w:val="005F2B26"/>
    <w:rsid w:val="005F2DDA"/>
    <w:rsid w:val="005F3726"/>
    <w:rsid w:val="005F4806"/>
    <w:rsid w:val="005F52BA"/>
    <w:rsid w:val="005F6F17"/>
    <w:rsid w:val="005F7ED7"/>
    <w:rsid w:val="005F7F02"/>
    <w:rsid w:val="0060305D"/>
    <w:rsid w:val="00604255"/>
    <w:rsid w:val="006050EE"/>
    <w:rsid w:val="006060C3"/>
    <w:rsid w:val="00607228"/>
    <w:rsid w:val="006076C9"/>
    <w:rsid w:val="006118F0"/>
    <w:rsid w:val="00612578"/>
    <w:rsid w:val="006129B5"/>
    <w:rsid w:val="00612D57"/>
    <w:rsid w:val="00612F99"/>
    <w:rsid w:val="00614C17"/>
    <w:rsid w:val="0061521E"/>
    <w:rsid w:val="00616726"/>
    <w:rsid w:val="006169A5"/>
    <w:rsid w:val="00616CAC"/>
    <w:rsid w:val="00617DE6"/>
    <w:rsid w:val="00620011"/>
    <w:rsid w:val="00620C1A"/>
    <w:rsid w:val="00621011"/>
    <w:rsid w:val="00621DA0"/>
    <w:rsid w:val="006242EA"/>
    <w:rsid w:val="00625404"/>
    <w:rsid w:val="006257B8"/>
    <w:rsid w:val="00630FE0"/>
    <w:rsid w:val="00631873"/>
    <w:rsid w:val="00632A04"/>
    <w:rsid w:val="00632D4F"/>
    <w:rsid w:val="006337E8"/>
    <w:rsid w:val="00633805"/>
    <w:rsid w:val="00634E9D"/>
    <w:rsid w:val="00640F34"/>
    <w:rsid w:val="006412A0"/>
    <w:rsid w:val="0064201F"/>
    <w:rsid w:val="00645006"/>
    <w:rsid w:val="006553D4"/>
    <w:rsid w:val="006558EC"/>
    <w:rsid w:val="006567CF"/>
    <w:rsid w:val="0065767B"/>
    <w:rsid w:val="00657F10"/>
    <w:rsid w:val="00660E08"/>
    <w:rsid w:val="00661752"/>
    <w:rsid w:val="0066223A"/>
    <w:rsid w:val="00662932"/>
    <w:rsid w:val="00664AEE"/>
    <w:rsid w:val="006650FB"/>
    <w:rsid w:val="00666186"/>
    <w:rsid w:val="00666A4B"/>
    <w:rsid w:val="00667BC0"/>
    <w:rsid w:val="00670C31"/>
    <w:rsid w:val="00671E30"/>
    <w:rsid w:val="006747E3"/>
    <w:rsid w:val="00675C27"/>
    <w:rsid w:val="006767EC"/>
    <w:rsid w:val="00680173"/>
    <w:rsid w:val="0068059C"/>
    <w:rsid w:val="00681C43"/>
    <w:rsid w:val="00681F5B"/>
    <w:rsid w:val="00682129"/>
    <w:rsid w:val="0068422C"/>
    <w:rsid w:val="006870F1"/>
    <w:rsid w:val="00687D16"/>
    <w:rsid w:val="00690E80"/>
    <w:rsid w:val="006913DC"/>
    <w:rsid w:val="00691403"/>
    <w:rsid w:val="00691C35"/>
    <w:rsid w:val="00692894"/>
    <w:rsid w:val="00692CCE"/>
    <w:rsid w:val="00693857"/>
    <w:rsid w:val="00693901"/>
    <w:rsid w:val="00694DBE"/>
    <w:rsid w:val="00695364"/>
    <w:rsid w:val="00695597"/>
    <w:rsid w:val="00696864"/>
    <w:rsid w:val="00696FEA"/>
    <w:rsid w:val="006A048F"/>
    <w:rsid w:val="006A066B"/>
    <w:rsid w:val="006A1FAE"/>
    <w:rsid w:val="006A22B7"/>
    <w:rsid w:val="006A297B"/>
    <w:rsid w:val="006A4CCC"/>
    <w:rsid w:val="006A5AFF"/>
    <w:rsid w:val="006A6A45"/>
    <w:rsid w:val="006A78D3"/>
    <w:rsid w:val="006A7CCB"/>
    <w:rsid w:val="006B1F99"/>
    <w:rsid w:val="006B2655"/>
    <w:rsid w:val="006B4169"/>
    <w:rsid w:val="006B44B4"/>
    <w:rsid w:val="006B50A5"/>
    <w:rsid w:val="006B53D1"/>
    <w:rsid w:val="006B6614"/>
    <w:rsid w:val="006B7ADB"/>
    <w:rsid w:val="006C2AC2"/>
    <w:rsid w:val="006C2BAC"/>
    <w:rsid w:val="006C4545"/>
    <w:rsid w:val="006C4C09"/>
    <w:rsid w:val="006C4ED6"/>
    <w:rsid w:val="006C76D1"/>
    <w:rsid w:val="006C771B"/>
    <w:rsid w:val="006D0400"/>
    <w:rsid w:val="006D329E"/>
    <w:rsid w:val="006D4294"/>
    <w:rsid w:val="006D6B3F"/>
    <w:rsid w:val="006E06D1"/>
    <w:rsid w:val="006E3B9D"/>
    <w:rsid w:val="006E689B"/>
    <w:rsid w:val="006E6D18"/>
    <w:rsid w:val="006E7884"/>
    <w:rsid w:val="006F170D"/>
    <w:rsid w:val="006F1C8F"/>
    <w:rsid w:val="006F1D72"/>
    <w:rsid w:val="006F1FA7"/>
    <w:rsid w:val="006F3C6A"/>
    <w:rsid w:val="006F4CB7"/>
    <w:rsid w:val="006F6C97"/>
    <w:rsid w:val="006F73DC"/>
    <w:rsid w:val="006F77AE"/>
    <w:rsid w:val="006F7FFA"/>
    <w:rsid w:val="00700529"/>
    <w:rsid w:val="00702043"/>
    <w:rsid w:val="0070318E"/>
    <w:rsid w:val="00703593"/>
    <w:rsid w:val="00703934"/>
    <w:rsid w:val="0070496E"/>
    <w:rsid w:val="00706522"/>
    <w:rsid w:val="0070692A"/>
    <w:rsid w:val="00706A64"/>
    <w:rsid w:val="00706C15"/>
    <w:rsid w:val="00711383"/>
    <w:rsid w:val="00711A9B"/>
    <w:rsid w:val="00711E20"/>
    <w:rsid w:val="0071378E"/>
    <w:rsid w:val="007169A9"/>
    <w:rsid w:val="007201CF"/>
    <w:rsid w:val="00720900"/>
    <w:rsid w:val="00720D3F"/>
    <w:rsid w:val="007231D4"/>
    <w:rsid w:val="007239B7"/>
    <w:rsid w:val="0072491D"/>
    <w:rsid w:val="00724E28"/>
    <w:rsid w:val="00724F39"/>
    <w:rsid w:val="007308FB"/>
    <w:rsid w:val="00732176"/>
    <w:rsid w:val="007322D9"/>
    <w:rsid w:val="00733214"/>
    <w:rsid w:val="00740773"/>
    <w:rsid w:val="0074406A"/>
    <w:rsid w:val="00745609"/>
    <w:rsid w:val="007468B8"/>
    <w:rsid w:val="00746C34"/>
    <w:rsid w:val="007504A9"/>
    <w:rsid w:val="00750FB7"/>
    <w:rsid w:val="00753F80"/>
    <w:rsid w:val="007555A1"/>
    <w:rsid w:val="007556EC"/>
    <w:rsid w:val="0075695B"/>
    <w:rsid w:val="0075752B"/>
    <w:rsid w:val="00761371"/>
    <w:rsid w:val="00765013"/>
    <w:rsid w:val="00767098"/>
    <w:rsid w:val="007701B9"/>
    <w:rsid w:val="00770748"/>
    <w:rsid w:val="00772AED"/>
    <w:rsid w:val="0077418B"/>
    <w:rsid w:val="007745F2"/>
    <w:rsid w:val="0077491D"/>
    <w:rsid w:val="00774F40"/>
    <w:rsid w:val="00774F73"/>
    <w:rsid w:val="007755F8"/>
    <w:rsid w:val="00775E40"/>
    <w:rsid w:val="00777116"/>
    <w:rsid w:val="0078029F"/>
    <w:rsid w:val="00780587"/>
    <w:rsid w:val="00780C01"/>
    <w:rsid w:val="00780DF0"/>
    <w:rsid w:val="00782521"/>
    <w:rsid w:val="00782FE7"/>
    <w:rsid w:val="00783E31"/>
    <w:rsid w:val="00786BF7"/>
    <w:rsid w:val="00787B8F"/>
    <w:rsid w:val="00790190"/>
    <w:rsid w:val="007923A3"/>
    <w:rsid w:val="007947C3"/>
    <w:rsid w:val="00794AF0"/>
    <w:rsid w:val="007965E0"/>
    <w:rsid w:val="007A03AF"/>
    <w:rsid w:val="007A103B"/>
    <w:rsid w:val="007A3DC5"/>
    <w:rsid w:val="007A5102"/>
    <w:rsid w:val="007A56B5"/>
    <w:rsid w:val="007A6376"/>
    <w:rsid w:val="007A64AF"/>
    <w:rsid w:val="007A73EC"/>
    <w:rsid w:val="007A766A"/>
    <w:rsid w:val="007B10C6"/>
    <w:rsid w:val="007B1DB7"/>
    <w:rsid w:val="007B3C71"/>
    <w:rsid w:val="007B50EF"/>
    <w:rsid w:val="007B584B"/>
    <w:rsid w:val="007C07EA"/>
    <w:rsid w:val="007C3EEF"/>
    <w:rsid w:val="007C763F"/>
    <w:rsid w:val="007C7BE0"/>
    <w:rsid w:val="007C7E29"/>
    <w:rsid w:val="007D3C26"/>
    <w:rsid w:val="007D4AE4"/>
    <w:rsid w:val="007D4E32"/>
    <w:rsid w:val="007D6808"/>
    <w:rsid w:val="007E094E"/>
    <w:rsid w:val="007E109A"/>
    <w:rsid w:val="007E27A2"/>
    <w:rsid w:val="007E3679"/>
    <w:rsid w:val="007E40F1"/>
    <w:rsid w:val="007E4658"/>
    <w:rsid w:val="007E5008"/>
    <w:rsid w:val="007E67F2"/>
    <w:rsid w:val="007E71CE"/>
    <w:rsid w:val="007F0088"/>
    <w:rsid w:val="007F094A"/>
    <w:rsid w:val="007F1561"/>
    <w:rsid w:val="007F4122"/>
    <w:rsid w:val="0080005C"/>
    <w:rsid w:val="00801669"/>
    <w:rsid w:val="00802FFD"/>
    <w:rsid w:val="00803A26"/>
    <w:rsid w:val="0080613C"/>
    <w:rsid w:val="008111E4"/>
    <w:rsid w:val="008117E1"/>
    <w:rsid w:val="00815815"/>
    <w:rsid w:val="0081588A"/>
    <w:rsid w:val="00815FB0"/>
    <w:rsid w:val="008164A6"/>
    <w:rsid w:val="00816C06"/>
    <w:rsid w:val="008176BB"/>
    <w:rsid w:val="00820EB3"/>
    <w:rsid w:val="0082176E"/>
    <w:rsid w:val="00823AEE"/>
    <w:rsid w:val="00823B2B"/>
    <w:rsid w:val="00824656"/>
    <w:rsid w:val="008246ED"/>
    <w:rsid w:val="0082522F"/>
    <w:rsid w:val="00827B74"/>
    <w:rsid w:val="00827C9A"/>
    <w:rsid w:val="008336B4"/>
    <w:rsid w:val="008348D3"/>
    <w:rsid w:val="008361E7"/>
    <w:rsid w:val="00837C31"/>
    <w:rsid w:val="00837E06"/>
    <w:rsid w:val="00840138"/>
    <w:rsid w:val="00841144"/>
    <w:rsid w:val="0084489D"/>
    <w:rsid w:val="00850E39"/>
    <w:rsid w:val="00851094"/>
    <w:rsid w:val="00851603"/>
    <w:rsid w:val="00854471"/>
    <w:rsid w:val="008547EC"/>
    <w:rsid w:val="00854CC2"/>
    <w:rsid w:val="0085599D"/>
    <w:rsid w:val="0086175D"/>
    <w:rsid w:val="00862036"/>
    <w:rsid w:val="008635AD"/>
    <w:rsid w:val="00863CF9"/>
    <w:rsid w:val="00863D1A"/>
    <w:rsid w:val="00864832"/>
    <w:rsid w:val="00864DD8"/>
    <w:rsid w:val="0086513E"/>
    <w:rsid w:val="008678A4"/>
    <w:rsid w:val="00867DBC"/>
    <w:rsid w:val="00870CA8"/>
    <w:rsid w:val="008710CF"/>
    <w:rsid w:val="00873261"/>
    <w:rsid w:val="008749B4"/>
    <w:rsid w:val="00875297"/>
    <w:rsid w:val="0087588A"/>
    <w:rsid w:val="00875CED"/>
    <w:rsid w:val="0087730D"/>
    <w:rsid w:val="008805F3"/>
    <w:rsid w:val="00881039"/>
    <w:rsid w:val="00881EBC"/>
    <w:rsid w:val="00882A0A"/>
    <w:rsid w:val="00882ED2"/>
    <w:rsid w:val="0088518B"/>
    <w:rsid w:val="00886636"/>
    <w:rsid w:val="00887279"/>
    <w:rsid w:val="0089087C"/>
    <w:rsid w:val="0089158E"/>
    <w:rsid w:val="00892091"/>
    <w:rsid w:val="008926D8"/>
    <w:rsid w:val="0089273B"/>
    <w:rsid w:val="008929D3"/>
    <w:rsid w:val="00892B94"/>
    <w:rsid w:val="00894519"/>
    <w:rsid w:val="00895FF9"/>
    <w:rsid w:val="008A0156"/>
    <w:rsid w:val="008A0C0B"/>
    <w:rsid w:val="008A140B"/>
    <w:rsid w:val="008A2804"/>
    <w:rsid w:val="008A4778"/>
    <w:rsid w:val="008A5B4A"/>
    <w:rsid w:val="008A72C7"/>
    <w:rsid w:val="008B0064"/>
    <w:rsid w:val="008B0CA4"/>
    <w:rsid w:val="008B1046"/>
    <w:rsid w:val="008B1382"/>
    <w:rsid w:val="008B1BD5"/>
    <w:rsid w:val="008B1E26"/>
    <w:rsid w:val="008B2038"/>
    <w:rsid w:val="008B209E"/>
    <w:rsid w:val="008B253E"/>
    <w:rsid w:val="008B396E"/>
    <w:rsid w:val="008B48C4"/>
    <w:rsid w:val="008B4D79"/>
    <w:rsid w:val="008B677A"/>
    <w:rsid w:val="008B7EB2"/>
    <w:rsid w:val="008B7ED6"/>
    <w:rsid w:val="008C079F"/>
    <w:rsid w:val="008C1AD8"/>
    <w:rsid w:val="008C40B8"/>
    <w:rsid w:val="008C4DB9"/>
    <w:rsid w:val="008C6310"/>
    <w:rsid w:val="008C7183"/>
    <w:rsid w:val="008D1209"/>
    <w:rsid w:val="008D13E3"/>
    <w:rsid w:val="008D1DCE"/>
    <w:rsid w:val="008D26C2"/>
    <w:rsid w:val="008D2D09"/>
    <w:rsid w:val="008D337B"/>
    <w:rsid w:val="008D35CA"/>
    <w:rsid w:val="008D585D"/>
    <w:rsid w:val="008E0FC9"/>
    <w:rsid w:val="008E1EB5"/>
    <w:rsid w:val="008E26DB"/>
    <w:rsid w:val="008E2933"/>
    <w:rsid w:val="008E2BA8"/>
    <w:rsid w:val="008E349F"/>
    <w:rsid w:val="008E34C0"/>
    <w:rsid w:val="008E444A"/>
    <w:rsid w:val="008E4EBA"/>
    <w:rsid w:val="008E554E"/>
    <w:rsid w:val="008E6888"/>
    <w:rsid w:val="008E6F2A"/>
    <w:rsid w:val="008F14AE"/>
    <w:rsid w:val="008F16BC"/>
    <w:rsid w:val="008F17B7"/>
    <w:rsid w:val="008F2FB5"/>
    <w:rsid w:val="008F325D"/>
    <w:rsid w:val="008F39C3"/>
    <w:rsid w:val="008F432C"/>
    <w:rsid w:val="008F4757"/>
    <w:rsid w:val="008F780E"/>
    <w:rsid w:val="009003AA"/>
    <w:rsid w:val="00900C18"/>
    <w:rsid w:val="009010C6"/>
    <w:rsid w:val="00903265"/>
    <w:rsid w:val="00903886"/>
    <w:rsid w:val="00904BB9"/>
    <w:rsid w:val="009051D1"/>
    <w:rsid w:val="00905774"/>
    <w:rsid w:val="009079A6"/>
    <w:rsid w:val="009122B8"/>
    <w:rsid w:val="009128D8"/>
    <w:rsid w:val="00913504"/>
    <w:rsid w:val="00913E70"/>
    <w:rsid w:val="00914327"/>
    <w:rsid w:val="009155AE"/>
    <w:rsid w:val="00916650"/>
    <w:rsid w:val="00917BF6"/>
    <w:rsid w:val="0092111B"/>
    <w:rsid w:val="00921F1E"/>
    <w:rsid w:val="0092216F"/>
    <w:rsid w:val="00923369"/>
    <w:rsid w:val="00924748"/>
    <w:rsid w:val="0092759F"/>
    <w:rsid w:val="00927EFE"/>
    <w:rsid w:val="00930791"/>
    <w:rsid w:val="00931665"/>
    <w:rsid w:val="00931E68"/>
    <w:rsid w:val="00933D73"/>
    <w:rsid w:val="00933ED2"/>
    <w:rsid w:val="00934688"/>
    <w:rsid w:val="0093521B"/>
    <w:rsid w:val="00936FE6"/>
    <w:rsid w:val="00941A38"/>
    <w:rsid w:val="00941CBB"/>
    <w:rsid w:val="00943069"/>
    <w:rsid w:val="00946048"/>
    <w:rsid w:val="00946282"/>
    <w:rsid w:val="0094649C"/>
    <w:rsid w:val="0094665A"/>
    <w:rsid w:val="0094697D"/>
    <w:rsid w:val="009518CC"/>
    <w:rsid w:val="00951C35"/>
    <w:rsid w:val="00951CEF"/>
    <w:rsid w:val="00951F8A"/>
    <w:rsid w:val="00955302"/>
    <w:rsid w:val="009567C6"/>
    <w:rsid w:val="009569D2"/>
    <w:rsid w:val="00956C8D"/>
    <w:rsid w:val="00956F45"/>
    <w:rsid w:val="00957620"/>
    <w:rsid w:val="00960978"/>
    <w:rsid w:val="00960CEA"/>
    <w:rsid w:val="00960F8D"/>
    <w:rsid w:val="009612C0"/>
    <w:rsid w:val="009612C9"/>
    <w:rsid w:val="00961760"/>
    <w:rsid w:val="00962E3D"/>
    <w:rsid w:val="00964104"/>
    <w:rsid w:val="0097011E"/>
    <w:rsid w:val="00971E9E"/>
    <w:rsid w:val="00973048"/>
    <w:rsid w:val="0097361E"/>
    <w:rsid w:val="00974A82"/>
    <w:rsid w:val="00974A9D"/>
    <w:rsid w:val="009762A8"/>
    <w:rsid w:val="00976403"/>
    <w:rsid w:val="0097659A"/>
    <w:rsid w:val="00977694"/>
    <w:rsid w:val="00980AA9"/>
    <w:rsid w:val="0098143E"/>
    <w:rsid w:val="0098225C"/>
    <w:rsid w:val="00982398"/>
    <w:rsid w:val="00983FE8"/>
    <w:rsid w:val="009840A1"/>
    <w:rsid w:val="009849EB"/>
    <w:rsid w:val="00985696"/>
    <w:rsid w:val="0098622F"/>
    <w:rsid w:val="00986496"/>
    <w:rsid w:val="00987727"/>
    <w:rsid w:val="009877C4"/>
    <w:rsid w:val="009877E8"/>
    <w:rsid w:val="00992098"/>
    <w:rsid w:val="00992478"/>
    <w:rsid w:val="00992FF9"/>
    <w:rsid w:val="00993206"/>
    <w:rsid w:val="0099352A"/>
    <w:rsid w:val="00996046"/>
    <w:rsid w:val="00997D34"/>
    <w:rsid w:val="009A02A1"/>
    <w:rsid w:val="009A2223"/>
    <w:rsid w:val="009A258A"/>
    <w:rsid w:val="009A39E6"/>
    <w:rsid w:val="009A4C2A"/>
    <w:rsid w:val="009A4E31"/>
    <w:rsid w:val="009B1C45"/>
    <w:rsid w:val="009B2953"/>
    <w:rsid w:val="009B3FDA"/>
    <w:rsid w:val="009B4B59"/>
    <w:rsid w:val="009B4C03"/>
    <w:rsid w:val="009B521E"/>
    <w:rsid w:val="009B5B52"/>
    <w:rsid w:val="009B6346"/>
    <w:rsid w:val="009B71DB"/>
    <w:rsid w:val="009B74E1"/>
    <w:rsid w:val="009C091C"/>
    <w:rsid w:val="009C1D50"/>
    <w:rsid w:val="009C2A00"/>
    <w:rsid w:val="009C2BE4"/>
    <w:rsid w:val="009C317B"/>
    <w:rsid w:val="009C3342"/>
    <w:rsid w:val="009C73BA"/>
    <w:rsid w:val="009C7642"/>
    <w:rsid w:val="009C7940"/>
    <w:rsid w:val="009C7C83"/>
    <w:rsid w:val="009D0272"/>
    <w:rsid w:val="009D1815"/>
    <w:rsid w:val="009D3044"/>
    <w:rsid w:val="009D3519"/>
    <w:rsid w:val="009D408F"/>
    <w:rsid w:val="009D5718"/>
    <w:rsid w:val="009D736A"/>
    <w:rsid w:val="009E1542"/>
    <w:rsid w:val="009E216E"/>
    <w:rsid w:val="009E2464"/>
    <w:rsid w:val="009E3C80"/>
    <w:rsid w:val="009E4550"/>
    <w:rsid w:val="009E48CD"/>
    <w:rsid w:val="009E56AC"/>
    <w:rsid w:val="009E729E"/>
    <w:rsid w:val="009E7374"/>
    <w:rsid w:val="009F025B"/>
    <w:rsid w:val="009F229D"/>
    <w:rsid w:val="009F2B72"/>
    <w:rsid w:val="009F36EA"/>
    <w:rsid w:val="009F3EBA"/>
    <w:rsid w:val="009F3EDC"/>
    <w:rsid w:val="009F46BD"/>
    <w:rsid w:val="009F5253"/>
    <w:rsid w:val="009F763D"/>
    <w:rsid w:val="00A016BC"/>
    <w:rsid w:val="00A035B7"/>
    <w:rsid w:val="00A04D27"/>
    <w:rsid w:val="00A10D06"/>
    <w:rsid w:val="00A1182F"/>
    <w:rsid w:val="00A11D7F"/>
    <w:rsid w:val="00A120E0"/>
    <w:rsid w:val="00A12181"/>
    <w:rsid w:val="00A12FFE"/>
    <w:rsid w:val="00A1302F"/>
    <w:rsid w:val="00A1624B"/>
    <w:rsid w:val="00A16D93"/>
    <w:rsid w:val="00A20CAB"/>
    <w:rsid w:val="00A21E42"/>
    <w:rsid w:val="00A21ECC"/>
    <w:rsid w:val="00A2280C"/>
    <w:rsid w:val="00A229E7"/>
    <w:rsid w:val="00A23714"/>
    <w:rsid w:val="00A23863"/>
    <w:rsid w:val="00A24F2F"/>
    <w:rsid w:val="00A25303"/>
    <w:rsid w:val="00A3088A"/>
    <w:rsid w:val="00A334F4"/>
    <w:rsid w:val="00A37285"/>
    <w:rsid w:val="00A372D4"/>
    <w:rsid w:val="00A37DC2"/>
    <w:rsid w:val="00A42832"/>
    <w:rsid w:val="00A4283F"/>
    <w:rsid w:val="00A450D1"/>
    <w:rsid w:val="00A46E61"/>
    <w:rsid w:val="00A500A4"/>
    <w:rsid w:val="00A519DD"/>
    <w:rsid w:val="00A52719"/>
    <w:rsid w:val="00A5288D"/>
    <w:rsid w:val="00A52CEA"/>
    <w:rsid w:val="00A52F4A"/>
    <w:rsid w:val="00A543D3"/>
    <w:rsid w:val="00A546E4"/>
    <w:rsid w:val="00A54C8B"/>
    <w:rsid w:val="00A55C71"/>
    <w:rsid w:val="00A55E8F"/>
    <w:rsid w:val="00A61B33"/>
    <w:rsid w:val="00A61E2A"/>
    <w:rsid w:val="00A643CB"/>
    <w:rsid w:val="00A66031"/>
    <w:rsid w:val="00A6691F"/>
    <w:rsid w:val="00A71305"/>
    <w:rsid w:val="00A726E9"/>
    <w:rsid w:val="00A72C9F"/>
    <w:rsid w:val="00A72F01"/>
    <w:rsid w:val="00A733E3"/>
    <w:rsid w:val="00A75660"/>
    <w:rsid w:val="00A7674A"/>
    <w:rsid w:val="00A804D9"/>
    <w:rsid w:val="00A81C37"/>
    <w:rsid w:val="00A81D82"/>
    <w:rsid w:val="00A81EAF"/>
    <w:rsid w:val="00A83F83"/>
    <w:rsid w:val="00A842F0"/>
    <w:rsid w:val="00A84873"/>
    <w:rsid w:val="00A8681E"/>
    <w:rsid w:val="00A86FCE"/>
    <w:rsid w:val="00A91F4C"/>
    <w:rsid w:val="00A93569"/>
    <w:rsid w:val="00A936ED"/>
    <w:rsid w:val="00A978B6"/>
    <w:rsid w:val="00A979AE"/>
    <w:rsid w:val="00A97DC4"/>
    <w:rsid w:val="00AA06BA"/>
    <w:rsid w:val="00AA1503"/>
    <w:rsid w:val="00AA2713"/>
    <w:rsid w:val="00AA2A3C"/>
    <w:rsid w:val="00AA3242"/>
    <w:rsid w:val="00AA3DC6"/>
    <w:rsid w:val="00AB0343"/>
    <w:rsid w:val="00AB041E"/>
    <w:rsid w:val="00AB17F6"/>
    <w:rsid w:val="00AB5685"/>
    <w:rsid w:val="00AB7B08"/>
    <w:rsid w:val="00AC6594"/>
    <w:rsid w:val="00AC6E76"/>
    <w:rsid w:val="00AD001A"/>
    <w:rsid w:val="00AD0672"/>
    <w:rsid w:val="00AD2AE2"/>
    <w:rsid w:val="00AD43D7"/>
    <w:rsid w:val="00AD5569"/>
    <w:rsid w:val="00AD58BB"/>
    <w:rsid w:val="00AD78ED"/>
    <w:rsid w:val="00AD7F86"/>
    <w:rsid w:val="00AE086E"/>
    <w:rsid w:val="00AE10AD"/>
    <w:rsid w:val="00AE309C"/>
    <w:rsid w:val="00AE33C9"/>
    <w:rsid w:val="00AE41C8"/>
    <w:rsid w:val="00AE4916"/>
    <w:rsid w:val="00AE59ED"/>
    <w:rsid w:val="00AE5F24"/>
    <w:rsid w:val="00AE655E"/>
    <w:rsid w:val="00AF1855"/>
    <w:rsid w:val="00AF1D5B"/>
    <w:rsid w:val="00AF51D1"/>
    <w:rsid w:val="00AF5768"/>
    <w:rsid w:val="00AF5B06"/>
    <w:rsid w:val="00AF5EDE"/>
    <w:rsid w:val="00AF76DC"/>
    <w:rsid w:val="00AF7798"/>
    <w:rsid w:val="00B009B0"/>
    <w:rsid w:val="00B0233A"/>
    <w:rsid w:val="00B0403B"/>
    <w:rsid w:val="00B04277"/>
    <w:rsid w:val="00B0600F"/>
    <w:rsid w:val="00B06661"/>
    <w:rsid w:val="00B10DAE"/>
    <w:rsid w:val="00B10EE6"/>
    <w:rsid w:val="00B1125F"/>
    <w:rsid w:val="00B17129"/>
    <w:rsid w:val="00B17919"/>
    <w:rsid w:val="00B20B14"/>
    <w:rsid w:val="00B20BA7"/>
    <w:rsid w:val="00B21BE5"/>
    <w:rsid w:val="00B21E97"/>
    <w:rsid w:val="00B2260E"/>
    <w:rsid w:val="00B237CD"/>
    <w:rsid w:val="00B2417D"/>
    <w:rsid w:val="00B27146"/>
    <w:rsid w:val="00B31201"/>
    <w:rsid w:val="00B32911"/>
    <w:rsid w:val="00B33151"/>
    <w:rsid w:val="00B34365"/>
    <w:rsid w:val="00B34450"/>
    <w:rsid w:val="00B3519A"/>
    <w:rsid w:val="00B3569D"/>
    <w:rsid w:val="00B36008"/>
    <w:rsid w:val="00B37DB1"/>
    <w:rsid w:val="00B4274B"/>
    <w:rsid w:val="00B427A9"/>
    <w:rsid w:val="00B42963"/>
    <w:rsid w:val="00B43C1D"/>
    <w:rsid w:val="00B45627"/>
    <w:rsid w:val="00B45990"/>
    <w:rsid w:val="00B470AC"/>
    <w:rsid w:val="00B472BB"/>
    <w:rsid w:val="00B50FAD"/>
    <w:rsid w:val="00B51782"/>
    <w:rsid w:val="00B51A71"/>
    <w:rsid w:val="00B52529"/>
    <w:rsid w:val="00B5287F"/>
    <w:rsid w:val="00B531F5"/>
    <w:rsid w:val="00B5391F"/>
    <w:rsid w:val="00B53B9B"/>
    <w:rsid w:val="00B54833"/>
    <w:rsid w:val="00B55EE5"/>
    <w:rsid w:val="00B56C64"/>
    <w:rsid w:val="00B600EF"/>
    <w:rsid w:val="00B60965"/>
    <w:rsid w:val="00B61219"/>
    <w:rsid w:val="00B61EEE"/>
    <w:rsid w:val="00B62B8E"/>
    <w:rsid w:val="00B65102"/>
    <w:rsid w:val="00B66BC9"/>
    <w:rsid w:val="00B7105E"/>
    <w:rsid w:val="00B7131B"/>
    <w:rsid w:val="00B7181B"/>
    <w:rsid w:val="00B71CFB"/>
    <w:rsid w:val="00B75C1A"/>
    <w:rsid w:val="00B761D8"/>
    <w:rsid w:val="00B763EE"/>
    <w:rsid w:val="00B76496"/>
    <w:rsid w:val="00B765EC"/>
    <w:rsid w:val="00B767CC"/>
    <w:rsid w:val="00B76BD0"/>
    <w:rsid w:val="00B77DF7"/>
    <w:rsid w:val="00B80C37"/>
    <w:rsid w:val="00B80E63"/>
    <w:rsid w:val="00B811DC"/>
    <w:rsid w:val="00B835F2"/>
    <w:rsid w:val="00B84789"/>
    <w:rsid w:val="00B8588A"/>
    <w:rsid w:val="00B85F00"/>
    <w:rsid w:val="00B87CB5"/>
    <w:rsid w:val="00B90749"/>
    <w:rsid w:val="00B907C6"/>
    <w:rsid w:val="00B97969"/>
    <w:rsid w:val="00B97B17"/>
    <w:rsid w:val="00BA16C2"/>
    <w:rsid w:val="00BA1C27"/>
    <w:rsid w:val="00BA5EB5"/>
    <w:rsid w:val="00BA77C0"/>
    <w:rsid w:val="00BA787D"/>
    <w:rsid w:val="00BB143F"/>
    <w:rsid w:val="00BB26FA"/>
    <w:rsid w:val="00BB3FEC"/>
    <w:rsid w:val="00BB75AC"/>
    <w:rsid w:val="00BB7671"/>
    <w:rsid w:val="00BB7AE4"/>
    <w:rsid w:val="00BC011F"/>
    <w:rsid w:val="00BC0B4F"/>
    <w:rsid w:val="00BC2C95"/>
    <w:rsid w:val="00BC2E54"/>
    <w:rsid w:val="00BC36AA"/>
    <w:rsid w:val="00BC60C4"/>
    <w:rsid w:val="00BC6158"/>
    <w:rsid w:val="00BC6918"/>
    <w:rsid w:val="00BD124A"/>
    <w:rsid w:val="00BD1D49"/>
    <w:rsid w:val="00BD280B"/>
    <w:rsid w:val="00BD2E6E"/>
    <w:rsid w:val="00BD3329"/>
    <w:rsid w:val="00BD3FAE"/>
    <w:rsid w:val="00BD5248"/>
    <w:rsid w:val="00BD529C"/>
    <w:rsid w:val="00BD704D"/>
    <w:rsid w:val="00BD7537"/>
    <w:rsid w:val="00BD767F"/>
    <w:rsid w:val="00BD77C3"/>
    <w:rsid w:val="00BD7B45"/>
    <w:rsid w:val="00BD7C7F"/>
    <w:rsid w:val="00BE0A70"/>
    <w:rsid w:val="00BE1344"/>
    <w:rsid w:val="00BE213D"/>
    <w:rsid w:val="00BE6878"/>
    <w:rsid w:val="00BE6B5E"/>
    <w:rsid w:val="00BE6CA9"/>
    <w:rsid w:val="00BE75BB"/>
    <w:rsid w:val="00BE7B06"/>
    <w:rsid w:val="00BE7F30"/>
    <w:rsid w:val="00BF1EB7"/>
    <w:rsid w:val="00BF1F33"/>
    <w:rsid w:val="00BF4892"/>
    <w:rsid w:val="00BF4A06"/>
    <w:rsid w:val="00BF5816"/>
    <w:rsid w:val="00BF61BE"/>
    <w:rsid w:val="00BF659E"/>
    <w:rsid w:val="00C02B59"/>
    <w:rsid w:val="00C053A6"/>
    <w:rsid w:val="00C0675A"/>
    <w:rsid w:val="00C06D53"/>
    <w:rsid w:val="00C10A6E"/>
    <w:rsid w:val="00C1158D"/>
    <w:rsid w:val="00C12D0E"/>
    <w:rsid w:val="00C13D0A"/>
    <w:rsid w:val="00C13FB7"/>
    <w:rsid w:val="00C14B6F"/>
    <w:rsid w:val="00C15782"/>
    <w:rsid w:val="00C160BA"/>
    <w:rsid w:val="00C163D8"/>
    <w:rsid w:val="00C17524"/>
    <w:rsid w:val="00C20ACB"/>
    <w:rsid w:val="00C20D5E"/>
    <w:rsid w:val="00C21277"/>
    <w:rsid w:val="00C213B5"/>
    <w:rsid w:val="00C2250D"/>
    <w:rsid w:val="00C226AA"/>
    <w:rsid w:val="00C2360E"/>
    <w:rsid w:val="00C248D5"/>
    <w:rsid w:val="00C25942"/>
    <w:rsid w:val="00C259E0"/>
    <w:rsid w:val="00C26F3A"/>
    <w:rsid w:val="00C279B1"/>
    <w:rsid w:val="00C3047F"/>
    <w:rsid w:val="00C30541"/>
    <w:rsid w:val="00C315F7"/>
    <w:rsid w:val="00C318B4"/>
    <w:rsid w:val="00C31E7F"/>
    <w:rsid w:val="00C35A1A"/>
    <w:rsid w:val="00C35B61"/>
    <w:rsid w:val="00C3616E"/>
    <w:rsid w:val="00C37712"/>
    <w:rsid w:val="00C3790E"/>
    <w:rsid w:val="00C419FB"/>
    <w:rsid w:val="00C466BA"/>
    <w:rsid w:val="00C46E49"/>
    <w:rsid w:val="00C471F3"/>
    <w:rsid w:val="00C47550"/>
    <w:rsid w:val="00C50461"/>
    <w:rsid w:val="00C51F7C"/>
    <w:rsid w:val="00C545A6"/>
    <w:rsid w:val="00C54E1B"/>
    <w:rsid w:val="00C55301"/>
    <w:rsid w:val="00C558CF"/>
    <w:rsid w:val="00C56574"/>
    <w:rsid w:val="00C62AD0"/>
    <w:rsid w:val="00C64071"/>
    <w:rsid w:val="00C65FEC"/>
    <w:rsid w:val="00C701CE"/>
    <w:rsid w:val="00C701F7"/>
    <w:rsid w:val="00C722A8"/>
    <w:rsid w:val="00C72535"/>
    <w:rsid w:val="00C73D18"/>
    <w:rsid w:val="00C74377"/>
    <w:rsid w:val="00C745AA"/>
    <w:rsid w:val="00C75E3C"/>
    <w:rsid w:val="00C7630A"/>
    <w:rsid w:val="00C76A9C"/>
    <w:rsid w:val="00C77B88"/>
    <w:rsid w:val="00C80407"/>
    <w:rsid w:val="00C80864"/>
    <w:rsid w:val="00C81D82"/>
    <w:rsid w:val="00C81F45"/>
    <w:rsid w:val="00C824E3"/>
    <w:rsid w:val="00C8373F"/>
    <w:rsid w:val="00C852AB"/>
    <w:rsid w:val="00C87734"/>
    <w:rsid w:val="00C9085C"/>
    <w:rsid w:val="00C9109B"/>
    <w:rsid w:val="00C91E71"/>
    <w:rsid w:val="00C947B6"/>
    <w:rsid w:val="00C94873"/>
    <w:rsid w:val="00C958C8"/>
    <w:rsid w:val="00C95F14"/>
    <w:rsid w:val="00C96DE1"/>
    <w:rsid w:val="00C973FD"/>
    <w:rsid w:val="00CA36BB"/>
    <w:rsid w:val="00CA4B56"/>
    <w:rsid w:val="00CA552C"/>
    <w:rsid w:val="00CA5AF5"/>
    <w:rsid w:val="00CA69EF"/>
    <w:rsid w:val="00CA6C26"/>
    <w:rsid w:val="00CA71BE"/>
    <w:rsid w:val="00CA7B91"/>
    <w:rsid w:val="00CB04A3"/>
    <w:rsid w:val="00CB20F5"/>
    <w:rsid w:val="00CB30E9"/>
    <w:rsid w:val="00CB5BAB"/>
    <w:rsid w:val="00CB74CD"/>
    <w:rsid w:val="00CC03FA"/>
    <w:rsid w:val="00CC17AD"/>
    <w:rsid w:val="00CC2269"/>
    <w:rsid w:val="00CC3508"/>
    <w:rsid w:val="00CC3BC8"/>
    <w:rsid w:val="00CC3F70"/>
    <w:rsid w:val="00CC5CF1"/>
    <w:rsid w:val="00CC7512"/>
    <w:rsid w:val="00CC77BE"/>
    <w:rsid w:val="00CD0F78"/>
    <w:rsid w:val="00CD3EF9"/>
    <w:rsid w:val="00CD3F75"/>
    <w:rsid w:val="00CD604B"/>
    <w:rsid w:val="00CE0476"/>
    <w:rsid w:val="00CE0581"/>
    <w:rsid w:val="00CE0F9E"/>
    <w:rsid w:val="00CE17A1"/>
    <w:rsid w:val="00CE1D8B"/>
    <w:rsid w:val="00CE242D"/>
    <w:rsid w:val="00CE2B2F"/>
    <w:rsid w:val="00CE36D0"/>
    <w:rsid w:val="00CE3941"/>
    <w:rsid w:val="00CE527E"/>
    <w:rsid w:val="00CE6B80"/>
    <w:rsid w:val="00CE6E3D"/>
    <w:rsid w:val="00CE6EB8"/>
    <w:rsid w:val="00CE71C8"/>
    <w:rsid w:val="00CF03AB"/>
    <w:rsid w:val="00CF0C3E"/>
    <w:rsid w:val="00CF13C8"/>
    <w:rsid w:val="00CF16D9"/>
    <w:rsid w:val="00CF1E0D"/>
    <w:rsid w:val="00CF369C"/>
    <w:rsid w:val="00CF3BEA"/>
    <w:rsid w:val="00CF59EC"/>
    <w:rsid w:val="00CF5D47"/>
    <w:rsid w:val="00CF5E13"/>
    <w:rsid w:val="00CF5F7D"/>
    <w:rsid w:val="00CF7440"/>
    <w:rsid w:val="00CF75EB"/>
    <w:rsid w:val="00CF7699"/>
    <w:rsid w:val="00CF78C3"/>
    <w:rsid w:val="00CF7C37"/>
    <w:rsid w:val="00CF7C49"/>
    <w:rsid w:val="00D00D11"/>
    <w:rsid w:val="00D01002"/>
    <w:rsid w:val="00D01DDD"/>
    <w:rsid w:val="00D04054"/>
    <w:rsid w:val="00D042B3"/>
    <w:rsid w:val="00D04368"/>
    <w:rsid w:val="00D050B5"/>
    <w:rsid w:val="00D05F46"/>
    <w:rsid w:val="00D13423"/>
    <w:rsid w:val="00D13C66"/>
    <w:rsid w:val="00D14AD9"/>
    <w:rsid w:val="00D15174"/>
    <w:rsid w:val="00D160AD"/>
    <w:rsid w:val="00D167D4"/>
    <w:rsid w:val="00D205F5"/>
    <w:rsid w:val="00D21000"/>
    <w:rsid w:val="00D2238B"/>
    <w:rsid w:val="00D226B5"/>
    <w:rsid w:val="00D22F89"/>
    <w:rsid w:val="00D22FCE"/>
    <w:rsid w:val="00D2320A"/>
    <w:rsid w:val="00D25379"/>
    <w:rsid w:val="00D25909"/>
    <w:rsid w:val="00D26B0E"/>
    <w:rsid w:val="00D26B58"/>
    <w:rsid w:val="00D303C7"/>
    <w:rsid w:val="00D30CDE"/>
    <w:rsid w:val="00D30DF6"/>
    <w:rsid w:val="00D31095"/>
    <w:rsid w:val="00D324A2"/>
    <w:rsid w:val="00D327DD"/>
    <w:rsid w:val="00D33FED"/>
    <w:rsid w:val="00D347B7"/>
    <w:rsid w:val="00D351B6"/>
    <w:rsid w:val="00D365DE"/>
    <w:rsid w:val="00D379B1"/>
    <w:rsid w:val="00D37E63"/>
    <w:rsid w:val="00D37F54"/>
    <w:rsid w:val="00D40701"/>
    <w:rsid w:val="00D407B9"/>
    <w:rsid w:val="00D40838"/>
    <w:rsid w:val="00D42026"/>
    <w:rsid w:val="00D42DCF"/>
    <w:rsid w:val="00D43FDF"/>
    <w:rsid w:val="00D45C9D"/>
    <w:rsid w:val="00D45F5C"/>
    <w:rsid w:val="00D47429"/>
    <w:rsid w:val="00D4776A"/>
    <w:rsid w:val="00D47FBB"/>
    <w:rsid w:val="00D535C2"/>
    <w:rsid w:val="00D546BF"/>
    <w:rsid w:val="00D54CDF"/>
    <w:rsid w:val="00D554AC"/>
    <w:rsid w:val="00D55FC4"/>
    <w:rsid w:val="00D56332"/>
    <w:rsid w:val="00D60DD4"/>
    <w:rsid w:val="00D60EB4"/>
    <w:rsid w:val="00D617CC"/>
    <w:rsid w:val="00D62BD3"/>
    <w:rsid w:val="00D651E5"/>
    <w:rsid w:val="00D65482"/>
    <w:rsid w:val="00D66B02"/>
    <w:rsid w:val="00D67734"/>
    <w:rsid w:val="00D677FE"/>
    <w:rsid w:val="00D67886"/>
    <w:rsid w:val="00D72664"/>
    <w:rsid w:val="00D72AD4"/>
    <w:rsid w:val="00D738EF"/>
    <w:rsid w:val="00D74349"/>
    <w:rsid w:val="00D754D2"/>
    <w:rsid w:val="00D76F58"/>
    <w:rsid w:val="00D77548"/>
    <w:rsid w:val="00D776F4"/>
    <w:rsid w:val="00D77997"/>
    <w:rsid w:val="00D80AF1"/>
    <w:rsid w:val="00D81A99"/>
    <w:rsid w:val="00D8490C"/>
    <w:rsid w:val="00D84D64"/>
    <w:rsid w:val="00D86CAE"/>
    <w:rsid w:val="00D90572"/>
    <w:rsid w:val="00D90A32"/>
    <w:rsid w:val="00D942AA"/>
    <w:rsid w:val="00D953A8"/>
    <w:rsid w:val="00D96207"/>
    <w:rsid w:val="00D97068"/>
    <w:rsid w:val="00D97B2A"/>
    <w:rsid w:val="00DA03B5"/>
    <w:rsid w:val="00DA0CCD"/>
    <w:rsid w:val="00DA23EF"/>
    <w:rsid w:val="00DA29A4"/>
    <w:rsid w:val="00DA2E81"/>
    <w:rsid w:val="00DA303B"/>
    <w:rsid w:val="00DA337A"/>
    <w:rsid w:val="00DA3E68"/>
    <w:rsid w:val="00DA507C"/>
    <w:rsid w:val="00DA5820"/>
    <w:rsid w:val="00DA6D88"/>
    <w:rsid w:val="00DA7DF1"/>
    <w:rsid w:val="00DB0C3A"/>
    <w:rsid w:val="00DB1027"/>
    <w:rsid w:val="00DB12AA"/>
    <w:rsid w:val="00DB1667"/>
    <w:rsid w:val="00DB4D17"/>
    <w:rsid w:val="00DB515A"/>
    <w:rsid w:val="00DB5307"/>
    <w:rsid w:val="00DB7549"/>
    <w:rsid w:val="00DC0312"/>
    <w:rsid w:val="00DC20ED"/>
    <w:rsid w:val="00DC22C3"/>
    <w:rsid w:val="00DC3829"/>
    <w:rsid w:val="00DC3A43"/>
    <w:rsid w:val="00DC4A99"/>
    <w:rsid w:val="00DC6B28"/>
    <w:rsid w:val="00DC7136"/>
    <w:rsid w:val="00DD0FEA"/>
    <w:rsid w:val="00DD3B69"/>
    <w:rsid w:val="00DD3D4C"/>
    <w:rsid w:val="00DD3E83"/>
    <w:rsid w:val="00DD4A8B"/>
    <w:rsid w:val="00DD4B3C"/>
    <w:rsid w:val="00DD5C36"/>
    <w:rsid w:val="00DE358B"/>
    <w:rsid w:val="00DE3735"/>
    <w:rsid w:val="00DE3F9C"/>
    <w:rsid w:val="00DE5041"/>
    <w:rsid w:val="00DE5631"/>
    <w:rsid w:val="00DE5A98"/>
    <w:rsid w:val="00DF0637"/>
    <w:rsid w:val="00DF073E"/>
    <w:rsid w:val="00DF1373"/>
    <w:rsid w:val="00DF179C"/>
    <w:rsid w:val="00DF2D72"/>
    <w:rsid w:val="00DF2DBB"/>
    <w:rsid w:val="00DF447D"/>
    <w:rsid w:val="00DF454D"/>
    <w:rsid w:val="00DF53B6"/>
    <w:rsid w:val="00DF5428"/>
    <w:rsid w:val="00DF5C71"/>
    <w:rsid w:val="00E01D4B"/>
    <w:rsid w:val="00E02314"/>
    <w:rsid w:val="00E02D55"/>
    <w:rsid w:val="00E03FC7"/>
    <w:rsid w:val="00E046B8"/>
    <w:rsid w:val="00E04BFD"/>
    <w:rsid w:val="00E04FA0"/>
    <w:rsid w:val="00E05D3F"/>
    <w:rsid w:val="00E075AB"/>
    <w:rsid w:val="00E11B0E"/>
    <w:rsid w:val="00E13128"/>
    <w:rsid w:val="00E131F4"/>
    <w:rsid w:val="00E132E8"/>
    <w:rsid w:val="00E145A7"/>
    <w:rsid w:val="00E14BDF"/>
    <w:rsid w:val="00E152BB"/>
    <w:rsid w:val="00E17CCA"/>
    <w:rsid w:val="00E218FE"/>
    <w:rsid w:val="00E250C7"/>
    <w:rsid w:val="00E25894"/>
    <w:rsid w:val="00E26D38"/>
    <w:rsid w:val="00E272D3"/>
    <w:rsid w:val="00E27A25"/>
    <w:rsid w:val="00E309A3"/>
    <w:rsid w:val="00E31B1C"/>
    <w:rsid w:val="00E32281"/>
    <w:rsid w:val="00E323F6"/>
    <w:rsid w:val="00E32E00"/>
    <w:rsid w:val="00E331D7"/>
    <w:rsid w:val="00E332CF"/>
    <w:rsid w:val="00E3424E"/>
    <w:rsid w:val="00E361C2"/>
    <w:rsid w:val="00E36F39"/>
    <w:rsid w:val="00E37D33"/>
    <w:rsid w:val="00E433C3"/>
    <w:rsid w:val="00E43F58"/>
    <w:rsid w:val="00E455B8"/>
    <w:rsid w:val="00E45FE2"/>
    <w:rsid w:val="00E46586"/>
    <w:rsid w:val="00E513FE"/>
    <w:rsid w:val="00E52EBE"/>
    <w:rsid w:val="00E53DA7"/>
    <w:rsid w:val="00E53FBD"/>
    <w:rsid w:val="00E55E14"/>
    <w:rsid w:val="00E57E5D"/>
    <w:rsid w:val="00E6007F"/>
    <w:rsid w:val="00E61438"/>
    <w:rsid w:val="00E616AD"/>
    <w:rsid w:val="00E61CE2"/>
    <w:rsid w:val="00E62459"/>
    <w:rsid w:val="00E62A04"/>
    <w:rsid w:val="00E62F6F"/>
    <w:rsid w:val="00E633BC"/>
    <w:rsid w:val="00E64EC1"/>
    <w:rsid w:val="00E65866"/>
    <w:rsid w:val="00E67A41"/>
    <w:rsid w:val="00E73D43"/>
    <w:rsid w:val="00E73FCB"/>
    <w:rsid w:val="00E749CC"/>
    <w:rsid w:val="00E76F7E"/>
    <w:rsid w:val="00E80148"/>
    <w:rsid w:val="00E824E8"/>
    <w:rsid w:val="00E843E9"/>
    <w:rsid w:val="00E848D8"/>
    <w:rsid w:val="00E85675"/>
    <w:rsid w:val="00E86BDD"/>
    <w:rsid w:val="00E9008D"/>
    <w:rsid w:val="00E90751"/>
    <w:rsid w:val="00E91706"/>
    <w:rsid w:val="00E9293F"/>
    <w:rsid w:val="00E92E62"/>
    <w:rsid w:val="00E93BDE"/>
    <w:rsid w:val="00E93DF5"/>
    <w:rsid w:val="00E93F16"/>
    <w:rsid w:val="00E95487"/>
    <w:rsid w:val="00E9575D"/>
    <w:rsid w:val="00E97F02"/>
    <w:rsid w:val="00EA197B"/>
    <w:rsid w:val="00EA49A5"/>
    <w:rsid w:val="00EA608E"/>
    <w:rsid w:val="00EA61D8"/>
    <w:rsid w:val="00EA71F5"/>
    <w:rsid w:val="00EA7746"/>
    <w:rsid w:val="00EB0A28"/>
    <w:rsid w:val="00EB10C7"/>
    <w:rsid w:val="00EB7319"/>
    <w:rsid w:val="00EB7D3D"/>
    <w:rsid w:val="00EC17FD"/>
    <w:rsid w:val="00EC4D68"/>
    <w:rsid w:val="00EC6A64"/>
    <w:rsid w:val="00EC77F2"/>
    <w:rsid w:val="00EC780B"/>
    <w:rsid w:val="00EC7EA3"/>
    <w:rsid w:val="00ED108C"/>
    <w:rsid w:val="00ED120D"/>
    <w:rsid w:val="00ED2C9D"/>
    <w:rsid w:val="00ED2EBE"/>
    <w:rsid w:val="00ED50D9"/>
    <w:rsid w:val="00ED6E01"/>
    <w:rsid w:val="00ED6F25"/>
    <w:rsid w:val="00EE19FF"/>
    <w:rsid w:val="00EE1B89"/>
    <w:rsid w:val="00EE245A"/>
    <w:rsid w:val="00EE3291"/>
    <w:rsid w:val="00EE5443"/>
    <w:rsid w:val="00EF09EB"/>
    <w:rsid w:val="00EF24E1"/>
    <w:rsid w:val="00EF5C42"/>
    <w:rsid w:val="00F00D59"/>
    <w:rsid w:val="00F01B1E"/>
    <w:rsid w:val="00F046AC"/>
    <w:rsid w:val="00F04A8B"/>
    <w:rsid w:val="00F059F8"/>
    <w:rsid w:val="00F05FC0"/>
    <w:rsid w:val="00F077CF"/>
    <w:rsid w:val="00F10CE0"/>
    <w:rsid w:val="00F11DD3"/>
    <w:rsid w:val="00F12FCF"/>
    <w:rsid w:val="00F1355F"/>
    <w:rsid w:val="00F1494E"/>
    <w:rsid w:val="00F16187"/>
    <w:rsid w:val="00F1715F"/>
    <w:rsid w:val="00F1780D"/>
    <w:rsid w:val="00F17A40"/>
    <w:rsid w:val="00F22905"/>
    <w:rsid w:val="00F22C50"/>
    <w:rsid w:val="00F2391C"/>
    <w:rsid w:val="00F243D5"/>
    <w:rsid w:val="00F24404"/>
    <w:rsid w:val="00F25BFE"/>
    <w:rsid w:val="00F31CDE"/>
    <w:rsid w:val="00F3486F"/>
    <w:rsid w:val="00F35561"/>
    <w:rsid w:val="00F35784"/>
    <w:rsid w:val="00F363A0"/>
    <w:rsid w:val="00F3732C"/>
    <w:rsid w:val="00F405EC"/>
    <w:rsid w:val="00F41C19"/>
    <w:rsid w:val="00F4486E"/>
    <w:rsid w:val="00F4684C"/>
    <w:rsid w:val="00F54E8D"/>
    <w:rsid w:val="00F55CEA"/>
    <w:rsid w:val="00F56D06"/>
    <w:rsid w:val="00F5716D"/>
    <w:rsid w:val="00F616AF"/>
    <w:rsid w:val="00F61FAB"/>
    <w:rsid w:val="00F620B4"/>
    <w:rsid w:val="00F64242"/>
    <w:rsid w:val="00F65C05"/>
    <w:rsid w:val="00F716FA"/>
    <w:rsid w:val="00F71971"/>
    <w:rsid w:val="00F71A88"/>
    <w:rsid w:val="00F74A25"/>
    <w:rsid w:val="00F75430"/>
    <w:rsid w:val="00F759D5"/>
    <w:rsid w:val="00F75A5D"/>
    <w:rsid w:val="00F75D67"/>
    <w:rsid w:val="00F75F9E"/>
    <w:rsid w:val="00F7675C"/>
    <w:rsid w:val="00F76A40"/>
    <w:rsid w:val="00F77E0D"/>
    <w:rsid w:val="00F807B5"/>
    <w:rsid w:val="00F80A99"/>
    <w:rsid w:val="00F81644"/>
    <w:rsid w:val="00F835BB"/>
    <w:rsid w:val="00F874D8"/>
    <w:rsid w:val="00F9011B"/>
    <w:rsid w:val="00F90438"/>
    <w:rsid w:val="00F90490"/>
    <w:rsid w:val="00F9075D"/>
    <w:rsid w:val="00F92760"/>
    <w:rsid w:val="00F94DF5"/>
    <w:rsid w:val="00F96D29"/>
    <w:rsid w:val="00FA11D2"/>
    <w:rsid w:val="00FA17D3"/>
    <w:rsid w:val="00FA4694"/>
    <w:rsid w:val="00FA5873"/>
    <w:rsid w:val="00FA5B55"/>
    <w:rsid w:val="00FA6653"/>
    <w:rsid w:val="00FA7DC7"/>
    <w:rsid w:val="00FB3B06"/>
    <w:rsid w:val="00FB3D9D"/>
    <w:rsid w:val="00FB41AF"/>
    <w:rsid w:val="00FB4534"/>
    <w:rsid w:val="00FB490C"/>
    <w:rsid w:val="00FB4C44"/>
    <w:rsid w:val="00FB4CD5"/>
    <w:rsid w:val="00FB4E85"/>
    <w:rsid w:val="00FB63D8"/>
    <w:rsid w:val="00FB73DB"/>
    <w:rsid w:val="00FB7701"/>
    <w:rsid w:val="00FB7C5A"/>
    <w:rsid w:val="00FC10F3"/>
    <w:rsid w:val="00FC19F2"/>
    <w:rsid w:val="00FC4065"/>
    <w:rsid w:val="00FC67A2"/>
    <w:rsid w:val="00FC7D5D"/>
    <w:rsid w:val="00FD00DA"/>
    <w:rsid w:val="00FD06E1"/>
    <w:rsid w:val="00FD2AAF"/>
    <w:rsid w:val="00FD2C4D"/>
    <w:rsid w:val="00FD3770"/>
    <w:rsid w:val="00FD42D6"/>
    <w:rsid w:val="00FD4498"/>
    <w:rsid w:val="00FD5B9E"/>
    <w:rsid w:val="00FD6916"/>
    <w:rsid w:val="00FD6B57"/>
    <w:rsid w:val="00FE0512"/>
    <w:rsid w:val="00FE24C3"/>
    <w:rsid w:val="00FE28A8"/>
    <w:rsid w:val="00FE367E"/>
    <w:rsid w:val="00FE52FD"/>
    <w:rsid w:val="00FE78E1"/>
    <w:rsid w:val="00FF0420"/>
    <w:rsid w:val="00FF2875"/>
    <w:rsid w:val="00FF4A64"/>
    <w:rsid w:val="00FF5382"/>
    <w:rsid w:val="00FF636B"/>
    <w:rsid w:val="06EDCBAE"/>
    <w:rsid w:val="08A09CFF"/>
    <w:rsid w:val="104FF6F9"/>
    <w:rsid w:val="161C7781"/>
    <w:rsid w:val="16643D61"/>
    <w:rsid w:val="1B2AAB5C"/>
    <w:rsid w:val="24E23D4A"/>
    <w:rsid w:val="2732FBDA"/>
    <w:rsid w:val="2B6370A2"/>
    <w:rsid w:val="35B9E9DC"/>
    <w:rsid w:val="3AE059E3"/>
    <w:rsid w:val="40917D54"/>
    <w:rsid w:val="41089CC9"/>
    <w:rsid w:val="46E31043"/>
    <w:rsid w:val="4B70F7AD"/>
    <w:rsid w:val="4D8D3689"/>
    <w:rsid w:val="4FCA795C"/>
    <w:rsid w:val="6C108E20"/>
    <w:rsid w:val="73432B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933ED2"/>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4500CB"/>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933ED2"/>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933ED2"/>
    <w:rPr>
      <w:sz w:val="20"/>
    </w:rPr>
  </w:style>
  <w:style w:type="character" w:styleId="CommentReference">
    <w:name w:val="annotation reference"/>
    <w:basedOn w:val="DefaultParagraphFont"/>
    <w:uiPriority w:val="99"/>
    <w:semiHidden/>
    <w:unhideWhenUsed/>
    <w:locked/>
    <w:rsid w:val="00933ED2"/>
    <w:rPr>
      <w:sz w:val="16"/>
      <w:szCs w:val="16"/>
    </w:rPr>
  </w:style>
  <w:style w:type="paragraph" w:styleId="CommentText">
    <w:name w:val="annotation text"/>
    <w:basedOn w:val="Normal"/>
    <w:link w:val="CommentTextChar"/>
    <w:uiPriority w:val="99"/>
    <w:unhideWhenUsed/>
    <w:locked/>
    <w:rsid w:val="00933ED2"/>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933ED2"/>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933ED2"/>
    <w:rPr>
      <w:vertAlign w:val="superscript"/>
    </w:rPr>
  </w:style>
  <w:style w:type="character" w:customStyle="1" w:styleId="TitleChar">
    <w:name w:val="Title Char"/>
    <w:basedOn w:val="DefaultParagraphFont"/>
    <w:link w:val="Title"/>
    <w:uiPriority w:val="10"/>
    <w:rsid w:val="00933ED2"/>
    <w:rPr>
      <w:b/>
      <w:kern w:val="28"/>
      <w:sz w:val="48"/>
    </w:rPr>
  </w:style>
  <w:style w:type="table" w:styleId="GridTable7Colorful-Accent6">
    <w:name w:val="Grid Table 7 Colorful Accent 6"/>
    <w:basedOn w:val="TableNormal"/>
    <w:uiPriority w:val="52"/>
    <w:locked/>
    <w:rsid w:val="00933ED2"/>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933ED2"/>
    <w:rPr>
      <w:b/>
      <w:smallCaps/>
    </w:rPr>
  </w:style>
  <w:style w:type="character" w:customStyle="1" w:styleId="Heading2Char">
    <w:name w:val="Heading 2 Char"/>
    <w:basedOn w:val="DefaultParagraphFont"/>
    <w:link w:val="Heading2"/>
    <w:uiPriority w:val="9"/>
    <w:rsid w:val="00933ED2"/>
    <w:rPr>
      <w:b/>
    </w:rPr>
  </w:style>
  <w:style w:type="character" w:customStyle="1" w:styleId="Heading3Char">
    <w:name w:val="Heading 3 Char"/>
    <w:basedOn w:val="DefaultParagraphFont"/>
    <w:link w:val="Heading3"/>
    <w:uiPriority w:val="9"/>
    <w:rsid w:val="00933ED2"/>
    <w:rPr>
      <w:i/>
    </w:rPr>
  </w:style>
  <w:style w:type="character" w:customStyle="1" w:styleId="Heading4Char">
    <w:name w:val="Heading 4 Char"/>
    <w:basedOn w:val="DefaultParagraphFont"/>
    <w:link w:val="Heading4"/>
    <w:uiPriority w:val="9"/>
    <w:rsid w:val="00933ED2"/>
  </w:style>
  <w:style w:type="character" w:customStyle="1" w:styleId="Heading5Char">
    <w:name w:val="Heading 5 Char"/>
    <w:basedOn w:val="DefaultParagraphFont"/>
    <w:link w:val="Heading5"/>
    <w:uiPriority w:val="9"/>
    <w:semiHidden/>
    <w:rsid w:val="00933ED2"/>
  </w:style>
  <w:style w:type="character" w:customStyle="1" w:styleId="Heading6Char">
    <w:name w:val="Heading 6 Char"/>
    <w:basedOn w:val="DefaultParagraphFont"/>
    <w:link w:val="Heading6"/>
    <w:uiPriority w:val="9"/>
    <w:semiHidden/>
    <w:rsid w:val="00933ED2"/>
  </w:style>
  <w:style w:type="character" w:customStyle="1" w:styleId="Heading7Char">
    <w:name w:val="Heading 7 Char"/>
    <w:basedOn w:val="DefaultParagraphFont"/>
    <w:link w:val="Heading7"/>
    <w:uiPriority w:val="9"/>
    <w:semiHidden/>
    <w:rsid w:val="00933ED2"/>
  </w:style>
  <w:style w:type="character" w:customStyle="1" w:styleId="Heading8Char">
    <w:name w:val="Heading 8 Char"/>
    <w:basedOn w:val="DefaultParagraphFont"/>
    <w:link w:val="Heading8"/>
    <w:uiPriority w:val="9"/>
    <w:semiHidden/>
    <w:rsid w:val="00933ED2"/>
  </w:style>
  <w:style w:type="character" w:customStyle="1" w:styleId="Heading9Char">
    <w:name w:val="Heading 9 Char"/>
    <w:basedOn w:val="DefaultParagraphFont"/>
    <w:link w:val="Heading9"/>
    <w:uiPriority w:val="9"/>
    <w:semiHidden/>
    <w:rsid w:val="00933ED2"/>
  </w:style>
  <w:style w:type="paragraph" w:customStyle="1" w:styleId="FootnoteRoLReport">
    <w:name w:val="Footnote RoL Report"/>
    <w:basedOn w:val="FootnoteText"/>
    <w:link w:val="FootnoteRoLReportChar"/>
    <w:autoRedefine/>
    <w:qFormat/>
    <w:rsid w:val="00933ED2"/>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933ED2"/>
    <w:rPr>
      <w:rFonts w:eastAsiaTheme="minorHAnsi" w:cstheme="minorBidi"/>
      <w:sz w:val="20"/>
      <w:lang w:val="en-US" w:eastAsia="en-US"/>
    </w:rPr>
  </w:style>
  <w:style w:type="paragraph" w:styleId="ListParagraph">
    <w:name w:val="List Paragraph"/>
    <w:basedOn w:val="Normal"/>
    <w:uiPriority w:val="34"/>
    <w:qFormat/>
    <w:locked/>
    <w:rsid w:val="00933ED2"/>
    <w:pPr>
      <w:ind w:left="720"/>
      <w:contextualSpacing/>
    </w:pPr>
    <w:rPr>
      <w:rFonts w:eastAsiaTheme="minorHAnsi" w:cstheme="minorBidi"/>
      <w:szCs w:val="22"/>
      <w:lang w:val="en-US" w:eastAsia="en-US"/>
    </w:rPr>
  </w:style>
  <w:style w:type="character" w:styleId="Hyperlink">
    <w:name w:val="Hyperlink"/>
    <w:basedOn w:val="DefaultParagraphFont"/>
    <w:uiPriority w:val="99"/>
    <w:unhideWhenUsed/>
    <w:locked/>
    <w:rsid w:val="00933ED2"/>
    <w:rPr>
      <w:color w:val="0563C1" w:themeColor="hyperlink"/>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33ED2"/>
    <w:pPr>
      <w:spacing w:after="160" w:line="240" w:lineRule="exact"/>
    </w:pPr>
    <w:rPr>
      <w:vertAlign w:val="superscript"/>
    </w:rPr>
  </w:style>
  <w:style w:type="character" w:customStyle="1" w:styleId="UnresolvedMention">
    <w:name w:val="Unresolved Mention"/>
    <w:basedOn w:val="DefaultParagraphFont"/>
    <w:uiPriority w:val="99"/>
    <w:semiHidden/>
    <w:unhideWhenUsed/>
    <w:rsid w:val="00933ED2"/>
    <w:rPr>
      <w:color w:val="605E5C"/>
      <w:shd w:val="clear" w:color="auto" w:fill="E1DFDD"/>
    </w:rPr>
  </w:style>
  <w:style w:type="paragraph" w:styleId="Revision">
    <w:name w:val="Revision"/>
    <w:hidden/>
    <w:uiPriority w:val="99"/>
    <w:semiHidden/>
    <w:locked/>
    <w:rsid w:val="00933ED2"/>
    <w:rPr>
      <w:rFonts w:eastAsiaTheme="minorHAnsi" w:cstheme="minorBidi"/>
      <w:szCs w:val="22"/>
      <w:lang w:val="en-US" w:eastAsia="en-US"/>
    </w:rPr>
  </w:style>
  <w:style w:type="paragraph" w:styleId="CommentSubject">
    <w:name w:val="annotation subject"/>
    <w:basedOn w:val="CommentText"/>
    <w:next w:val="CommentText"/>
    <w:link w:val="CommentSubjectChar"/>
    <w:uiPriority w:val="99"/>
    <w:semiHidden/>
    <w:unhideWhenUsed/>
    <w:locked/>
    <w:rsid w:val="00933ED2"/>
    <w:rPr>
      <w:b/>
      <w:bCs/>
    </w:rPr>
  </w:style>
  <w:style w:type="character" w:customStyle="1" w:styleId="CommentSubjectChar">
    <w:name w:val="Comment Subject Char"/>
    <w:basedOn w:val="CommentTextChar"/>
    <w:link w:val="CommentSubject"/>
    <w:uiPriority w:val="99"/>
    <w:semiHidden/>
    <w:rsid w:val="00933ED2"/>
    <w:rPr>
      <w:rFonts w:eastAsiaTheme="minorHAnsi" w:cstheme="minorBidi"/>
      <w:b/>
      <w:bCs/>
      <w:sz w:val="20"/>
      <w:lang w:val="en-US" w:eastAsia="en-US"/>
    </w:rPr>
  </w:style>
  <w:style w:type="paragraph" w:styleId="NormalWeb">
    <w:name w:val="Normal (Web)"/>
    <w:basedOn w:val="Normal"/>
    <w:uiPriority w:val="99"/>
    <w:semiHidden/>
    <w:unhideWhenUsed/>
    <w:locked/>
    <w:rsid w:val="00933ED2"/>
    <w:rPr>
      <w:rFonts w:eastAsiaTheme="minorHAnsi"/>
      <w:szCs w:val="24"/>
      <w:lang w:val="en-US" w:eastAsia="en-US"/>
    </w:rPr>
  </w:style>
  <w:style w:type="character" w:styleId="FollowedHyperlink">
    <w:name w:val="FollowedHyperlink"/>
    <w:basedOn w:val="DefaultParagraphFont"/>
    <w:uiPriority w:val="99"/>
    <w:semiHidden/>
    <w:unhideWhenUsed/>
    <w:locked/>
    <w:rsid w:val="00933ED2"/>
    <w:rPr>
      <w:color w:val="954F72" w:themeColor="followedHyperlink"/>
      <w:u w:val="single"/>
    </w:rPr>
  </w:style>
  <w:style w:type="character" w:customStyle="1" w:styleId="Mention">
    <w:name w:val="Mention"/>
    <w:basedOn w:val="DefaultParagraphFont"/>
    <w:uiPriority w:val="99"/>
    <w:unhideWhenUsed/>
    <w:rsid w:val="00933ED2"/>
    <w:rPr>
      <w:color w:val="2B579A"/>
      <w:shd w:val="clear" w:color="auto" w:fill="E1DFDD"/>
    </w:rPr>
  </w:style>
  <w:style w:type="character" w:customStyle="1" w:styleId="FootnoteTextChar1">
    <w:name w:val="Footnote Text Char1"/>
    <w:basedOn w:val="DefaultParagraphFont"/>
    <w:uiPriority w:val="99"/>
    <w:semiHidden/>
    <w:rsid w:val="00933ED2"/>
    <w:rPr>
      <w:sz w:val="20"/>
      <w:szCs w:val="20"/>
    </w:rPr>
  </w:style>
  <w:style w:type="paragraph" w:customStyle="1" w:styleId="Disclaimer">
    <w:name w:val="Disclaimer"/>
    <w:basedOn w:val="Normal"/>
    <w:rsid w:val="004500C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4500C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4500C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4500CB"/>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079817">
      <w:bodyDiv w:val="1"/>
      <w:marLeft w:val="0"/>
      <w:marRight w:val="0"/>
      <w:marTop w:val="0"/>
      <w:marBottom w:val="0"/>
      <w:divBdr>
        <w:top w:val="none" w:sz="0" w:space="0" w:color="auto"/>
        <w:left w:val="none" w:sz="0" w:space="0" w:color="auto"/>
        <w:bottom w:val="none" w:sz="0" w:space="0" w:color="auto"/>
        <w:right w:val="none" w:sz="0" w:space="0" w:color="auto"/>
      </w:divBdr>
    </w:div>
    <w:div w:id="1934319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congreso.es/es/busqueda-de-iniciativas?p_p_id=iniciativas&amp;p_p_lifecycle=0&amp;p_p_state=normal&amp;p_p_mode=view&amp;_iniciativas_mode=mostrarDetalle&amp;_iniciativas_legislatura=XV&amp;_iniciativas_id=122/000229" TargetMode="External"/><Relationship Id="rId39" Type="http://schemas.openxmlformats.org/officeDocument/2006/relationships/hyperlink" Target="https://www.boe.es/boe/dias/2026/06/15/pdfs/BOE-A-2026-12918.pdf" TargetMode="External"/><Relationship Id="rId21" Type="http://schemas.openxmlformats.org/officeDocument/2006/relationships/footer" Target="footer3.xml"/><Relationship Id="rId34" Type="http://schemas.openxmlformats.org/officeDocument/2006/relationships/hyperlink" Target="https://www.boe.es/diario_boe/txt.php?id=BOE-A-2026-2205" TargetMode="External"/><Relationship Id="rId42" Type="http://schemas.openxmlformats.org/officeDocument/2006/relationships/hyperlink" Target="https://www.boe.es/boe/dias/2026/06/15/pdfs/BOE-A-2026-12915.pdf" TargetMode="External"/><Relationship Id="rId47" Type="http://schemas.openxmlformats.org/officeDocument/2006/relationships/hyperlink" Target="https://rm.coe.int/2025-annual-report/48802b1633" TargetMode="External"/><Relationship Id="rId50" Type="http://schemas.openxmlformats.org/officeDocument/2006/relationships/hyperlink" Target="https://rm.coe.int/grecorc5-2025-17-final-eng-add-to-2nd-compliance-report-spain-public/1680b6ce89" TargetMode="External"/><Relationship Id="rId55" Type="http://schemas.openxmlformats.org/officeDocument/2006/relationships/hyperlink" Target="https://commission.europa.eu/document/download/2bd09a6f-ef56-494a-8303-e0de808ee981_en?filename=23_1_58063_coun_chap_spain_en_0.pdf" TargetMode="External"/><Relationship Id="rId63" Type="http://schemas.openxmlformats.org/officeDocument/2006/relationships/hyperlink" Target="https://www.mjusticia.gob.es/es/ElMinisterio/GabineteComunicacion/Documents/RD-Creaci%c3%b3n%20plazas%20judiciales%202026.pdf" TargetMode="External"/><Relationship Id="rId68" Type="http://schemas.openxmlformats.org/officeDocument/2006/relationships/hyperlink" Target="https://digital.gob.es/funcion-publica/incompatibilidad-y-conflicto-intereses/informe-cumplimiento-altos-cargos" TargetMode="External"/><Relationship Id="rId76" Type="http://schemas.openxmlformats.org/officeDocument/2006/relationships/hyperlink" Target="https://www.poderjudicial.es/search/AN/openDocument/0217b6148cd22fb2a0a8778d75e36f0d/20251210" TargetMode="External"/><Relationship Id="rId84" Type="http://schemas.openxmlformats.org/officeDocument/2006/relationships/theme" Target="theme/theme1.xml"/><Relationship Id="rId7" Type="http://schemas.openxmlformats.org/officeDocument/2006/relationships/customXml" Target="../customXml/item7.xml"/><Relationship Id="rId71" Type="http://schemas.openxmlformats.org/officeDocument/2006/relationships/hyperlink" Target="https://www.boe.es/buscar/act.php?id=BOE-A-1985-12666"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poderjudicial.es/cgpj/es/Poder-Judicial/Consejo-General-del-Poder-Judicial/Actividad-del-CGPJ/Estudios/Plan-Estrategico-para-el-decenio-2023-2032-de-recursos-humanos-en-la-Carrera-Judicial--Acuerdo-CP-CGPJ-11-07-2024-" TargetMode="External"/><Relationship Id="rId11" Type="http://schemas.openxmlformats.org/officeDocument/2006/relationships/settings" Target="settings.xml"/><Relationship Id="rId24" Type="http://schemas.openxmlformats.org/officeDocument/2006/relationships/hyperlink" Target="https://www.congreso.es/es/busqueda-de-iniciativas?p_p_id=iniciativas&amp;p_p_lifecycle=0&amp;p_p_state=normal&amp;p_p_mode=view&amp;_iniciativas_mode=mostrarDetalle&amp;_iniciativas_legislatura=XV&amp;_iniciativas_id=122/000131" TargetMode="External"/><Relationship Id="rId32" Type="http://schemas.openxmlformats.org/officeDocument/2006/relationships/hyperlink" Target="https://www.poderjudicial.es/portal/site/cgpj/menuitem.65d2c4456b6ddb628e635fc1dc432ea0/?vgnextoid=1231da9a403ca910VgnVCM1000004648ac0aRCRD&amp;vgnextchannel=b59fd098b243b510VgnVCM1000006f48ac0aRCRD&amp;vgnextfmt=default&amp;vgnextlocale=es_ES" TargetMode="External"/><Relationship Id="rId37" Type="http://schemas.openxmlformats.org/officeDocument/2006/relationships/hyperlink" Target="https://www.poderjudicial.es/cgpj/es/Poder-Judicial/Consejo-General-del-Poder-Judicial/En-Portada/El-CGPJ-acuerda-la-convocatoria-de-las-pruebas-de-acceso-a-las-Carreras-Judicial-y-Fiscal--en-la-que-se-ofertaran-575-plazas-" TargetMode="External"/><Relationship Id="rId40" Type="http://schemas.openxmlformats.org/officeDocument/2006/relationships/hyperlink" Target="https://www.boe.es/boe/dias/2026/06/15/pdfs/BOE-A-2026-12913.pdf" TargetMode="External"/><Relationship Id="rId45" Type="http://schemas.openxmlformats.org/officeDocument/2006/relationships/hyperlink" Target="https://www.poderjudicial.es/cgpj/es/Poder-Judicial/Consejo-General-del-Poder-Judicial/En-Portada/La-Comision-Permanente-acuerda-remitir-al-Promotor-de-la-Accion-Disciplinaria-el-auto-dictado-el-pasado-sabado-por-el-magistrado-Juan-Carlos-Peinado" TargetMode="External"/><Relationship Id="rId53" Type="http://schemas.openxmlformats.org/officeDocument/2006/relationships/hyperlink" Target="https://www.boe.es/boe/dias/2025/08/16/pdfs/BOE-A-2025-16946.pdf" TargetMode="External"/><Relationship Id="rId58" Type="http://schemas.openxmlformats.org/officeDocument/2006/relationships/hyperlink" Target="https://commission.europa.eu/document/download/d1367f58-9eed-4ebd-8eb3-68646b7c7ddc_en?filename=2026_eu_justice_scoreboard.PDF" TargetMode="External"/><Relationship Id="rId66" Type="http://schemas.openxmlformats.org/officeDocument/2006/relationships/hyperlink" Target="https://www.oecd.org/content/dam/oecd/en/publications/reports/2025/09/better-regulation-practices-across-the-european-union-2025_a3dfd5e6/6f007516-en.pdf" TargetMode="External"/><Relationship Id="rId74" Type="http://schemas.openxmlformats.org/officeDocument/2006/relationships/hyperlink" Target="https://libertadinformacion.cc/wp-content/uploads/2026/01/Balance-2025_libertad-informacion-Espana.pdf" TargetMode="External"/><Relationship Id="rId79" Type="http://schemas.openxmlformats.org/officeDocument/2006/relationships/footer" Target="footer4.xml"/><Relationship Id="rId5" Type="http://schemas.openxmlformats.org/officeDocument/2006/relationships/customXml" Target="../customXml/item5.xml"/><Relationship Id="rId61" Type="http://schemas.openxmlformats.org/officeDocument/2006/relationships/hyperlink" Target="https://www.abogacia.es/actualidad/noticias/la-abogacia-pide-respeto-a-las-decisiones-judiciales-y-urge-a-confeccionar-un-nuevo-protocolo-de-conformidad-con-la-fiscalia/" TargetMode="External"/><Relationship Id="rId82" Type="http://schemas.openxmlformats.org/officeDocument/2006/relationships/footer" Target="footer6.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poderjudicial.es/portal/site/cgpj/menuitem.65d2c4456b6ddb628e635fc1dc432ea0/?vgnextoid=fbac0cb702919910VgnVCM1000004648ac0aRCRD&amp;vgnextchannel=ea1732cd1ddaa210VgnVCM100000cb34e20aRCRD&amp;vgnextfmt=default&amp;vgnextlocale=en&amp;lang_choosen=en" TargetMode="External"/><Relationship Id="rId44" Type="http://schemas.openxmlformats.org/officeDocument/2006/relationships/hyperlink" Target="https://www.boe.es/boe/dias/2026/06/15/pdfs/BOE-A-2026-12917.pdf" TargetMode="External"/><Relationship Id="rId52" Type="http://schemas.openxmlformats.org/officeDocument/2006/relationships/hyperlink" Target="https://fom.coe.int/en/alerte?idsPays=11709492&amp;alertesActives=true&amp;dateDebut=1735704000000&amp;dateFin=1767153600000&amp;nbElementDebut=0" TargetMode="External"/><Relationship Id="rId60" Type="http://schemas.openxmlformats.org/officeDocument/2006/relationships/hyperlink" Target="https://www.mfrr.eu/monitor/" TargetMode="External"/><Relationship Id="rId65" Type="http://schemas.openxmlformats.org/officeDocument/2006/relationships/hyperlink" Target="https://www.defensordelpueblo.es/wp-content/uploads/2026/04/Protocolo-reconocimiento-y-reparacion.pdf" TargetMode="External"/><Relationship Id="rId73" Type="http://schemas.openxmlformats.org/officeDocument/2006/relationships/hyperlink" Target="https://www.boe.es/buscar/act.php?id=BOE-A-2025-76" TargetMode="External"/><Relationship Id="rId78" Type="http://schemas.openxmlformats.org/officeDocument/2006/relationships/header" Target="header5.xml"/><Relationship Id="rId8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congreso.es/es/busqueda-de-iniciativas?p_p_id=iniciativas&amp;p_p_lifecycle=0&amp;p_p_state=normal&amp;p_p_mode=view&amp;_iniciativas_mode=mostrarDetalle&amp;_iniciativas_legislatura=XV&amp;_iniciativas_id=121/000074" TargetMode="External"/><Relationship Id="rId30" Type="http://schemas.openxmlformats.org/officeDocument/2006/relationships/hyperlink" Target="https://www.poderjudicial.es/cgpj/es/Poder-Judicial/Consejo-General-del-Poder-Judicial/Actividad-del-CGPJ/Memorias/Memoria-anual-2025--correspondiente-al-ejercicio-2024-" TargetMode="External"/><Relationship Id="rId35" Type="http://schemas.openxmlformats.org/officeDocument/2006/relationships/hyperlink" Target="https://www.poderjudicial.es/cgpj/es/Poder-Judicial/Consejo-General-del-Poder-Judicial/En-Portada/El-CGPJ-acuerda-por-unanimidad-tomar-conocimiento-del-archivo-de-cuatro-diligencias-informativas-incoadas-al-magistrado-Juan-Carlos-Peinado" TargetMode="External"/><Relationship Id="rId43" Type="http://schemas.openxmlformats.org/officeDocument/2006/relationships/hyperlink" Target="https://www.boe.es/boe/dias/2026/06/15/pdfs/BOE-A-2026-12916.pdf" TargetMode="External"/><Relationship Id="rId48" Type="http://schemas.openxmlformats.org/officeDocument/2006/relationships/hyperlink" Target="https://rm.coe.int/4880152a92" TargetMode="External"/><Relationship Id="rId56" Type="http://schemas.openxmlformats.org/officeDocument/2006/relationships/hyperlink" Target="https://commission.europa.eu/document/download/3457bf3b-e321-49af-80fd-de0617ef5b28_en?filename=13_1_63945_coun_chap_spain_en.pdf" TargetMode="External"/><Relationship Id="rId64" Type="http://schemas.openxmlformats.org/officeDocument/2006/relationships/hyperlink" Target="https://www.mjusticia.gob.es/es/institucional/gabinete-comunicacion/noticias-ministerio/fiscales-2026" TargetMode="External"/><Relationship Id="rId69" Type="http://schemas.openxmlformats.org/officeDocument/2006/relationships/hyperlink" Target="https://www.defensordelpueblo.es/wp-content/uploads/2025/03/Defensor-del-Pueblo_Informe-anual-2024.pdf" TargetMode="External"/><Relationship Id="rId77" Type="http://schemas.openxmlformats.org/officeDocument/2006/relationships/header" Target="header4.xml"/><Relationship Id="rId8" Type="http://schemas.openxmlformats.org/officeDocument/2006/relationships/customXml" Target="../customXml/item8.xml"/><Relationship Id="rId51" Type="http://schemas.openxmlformats.org/officeDocument/2006/relationships/hyperlink" Target="https://www.coe.int/en/web/venice-commission/-/cdl-ad-2025-038-e" TargetMode="External"/><Relationship Id="rId72" Type="http://schemas.openxmlformats.org/officeDocument/2006/relationships/hyperlink" Target="https://www.boe.es/buscar/act.php?id=BOE-A-2024-11776" TargetMode="External"/><Relationship Id="rId80"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congreso.es/es/busqueda-de-iniciativas?p_p_id=iniciativas&amp;p_p_lifecycle=0&amp;p_p_state=normal&amp;p_p_mode=view&amp;_iniciativas_mode=mostrarDetalle&amp;_iniciativas_legislatura=XV&amp;_iniciativas_id=121/000059" TargetMode="External"/><Relationship Id="rId33" Type="http://schemas.openxmlformats.org/officeDocument/2006/relationships/hyperlink" Target="https://www.poderjudicial.es/cgpj/es/Poder-Judicial/Consejo-General-del-Poder-Judicial/Actividad-del-CGPJ/Estudios/Plan-Estrategico-para-el-decenio-2026-2035-de-recursos-humanos-en-la-Carrera-Judicial--Acuerdo-CP-CGPJ-16-12-2025-" TargetMode="External"/><Relationship Id="rId38" Type="http://schemas.openxmlformats.org/officeDocument/2006/relationships/hyperlink" Target="https://www.poderjudicial.es/cgpj/es/Poder-Judicial/En-Portada/Declaracion-institucional-de-la-Comision-Permanente-" TargetMode="External"/><Relationship Id="rId46" Type="http://schemas.openxmlformats.org/officeDocument/2006/relationships/hyperlink" Target="https://search.coe.int/cm" TargetMode="External"/><Relationship Id="rId59" Type="http://schemas.openxmlformats.org/officeDocument/2006/relationships/hyperlink" Target="https://hudoc.echr.coe.int/eng" TargetMode="External"/><Relationship Id="rId67" Type="http://schemas.openxmlformats.org/officeDocument/2006/relationships/hyperlink" Target="https://www.oecd.org/en/publications/oecd-anti-bribery-convention-phase-4-follow-up-report-on-spain_4f4eb067-en.html" TargetMode="External"/><Relationship Id="rId20" Type="http://schemas.openxmlformats.org/officeDocument/2006/relationships/header" Target="header3.xml"/><Relationship Id="rId41" Type="http://schemas.openxmlformats.org/officeDocument/2006/relationships/hyperlink" Target="https://www.boe.es/boe/dias/2026/06/15/pdfs/BOE-A-2026-12914.pdf" TargetMode="External"/><Relationship Id="rId54" Type="http://schemas.openxmlformats.org/officeDocument/2006/relationships/hyperlink" Target="https://www.eppo.europa.eu/assets/annual-report-2025/pdfs/EPPO_Annual_Report_2025_en.pdf" TargetMode="External"/><Relationship Id="rId62" Type="http://schemas.openxmlformats.org/officeDocument/2006/relationships/hyperlink" Target="https://journalismresearch.org/wp-content/uploads/2025/12/SPAIN-media-Capture-Monitoring-Report-Overview-1.pdf" TargetMode="External"/><Relationship Id="rId70" Type="http://schemas.openxmlformats.org/officeDocument/2006/relationships/hyperlink" Target="https://www.defensordelpueblo.es/wp-content/uploads/2026/03/Defensor-del-Pueblo_Informe-anual-2025.pdf" TargetMode="External"/><Relationship Id="rId75" Type="http://schemas.openxmlformats.org/officeDocument/2006/relationships/hyperlink" Target="https://www.senado.es/web/actividadparlamentaria/iniciativas/detalleiniciativa/index.html?legis=15&amp;id1=622&amp;id2=000090"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emf"/><Relationship Id="rId23" Type="http://schemas.openxmlformats.org/officeDocument/2006/relationships/hyperlink" Target="https://www.liberties.eu/f/wtaqoq" TargetMode="External"/><Relationship Id="rId28" Type="http://schemas.openxmlformats.org/officeDocument/2006/relationships/hyperlink" Target="https://www.poderjudicial.es/portal/site/cgpj/menuitem.65d2c4456b6ddb628e635fc1dc432ea0/?vgnextoid=3c2f6292b44cf810VgnVCM1000004648ac0aRCRD&amp;vgnextchannel=be4105063580d210VgnVCM100000cb34e20aRCRD&amp;vgnextfmt=default&amp;vgnextlocale=es&amp;lang_choosen=es" TargetMode="External"/><Relationship Id="rId36" Type="http://schemas.openxmlformats.org/officeDocument/2006/relationships/hyperlink" Target="https://www.poderjudicial.es/cgpj/es/Poder-Judicial/En-Portada/El-CGPJ-nombra-a-dos-magistrados-de-la-Sala-Quinta-del-Tribunal-Supremo-y-a-los-presidentes-de-los-TSJ-del-Pais-Vasco-y-Canarias" TargetMode="External"/><Relationship Id="rId49" Type="http://schemas.openxmlformats.org/officeDocument/2006/relationships/hyperlink" Target="https://rm.coe.int/fifth-evaluation-round-preventing-corruption-and-promoting-integrity-i/168098c691" TargetMode="External"/><Relationship Id="rId57" Type="http://schemas.openxmlformats.org/officeDocument/2006/relationships/hyperlink" Target="https://reforms-investments.ec.europa.eu/document/download/180b587b-489b-4339-97bb-1f6ce8ad4df2_en?filename=ES-COM_2026_209_1_EN_ACT_part1_v4.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9BB7C-547C-4C15-B61E-BE0A69226E01}">
  <ds:schemaRefs/>
</ds:datastoreItem>
</file>

<file path=customXml/itemProps2.xml><?xml version="1.0" encoding="utf-8"?>
<ds:datastoreItem xmlns:ds="http://schemas.openxmlformats.org/officeDocument/2006/customXml" ds:itemID="{4DD3F818-61A0-453A-8406-202D3158A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CFE9E65C-4312-4508-B42F-E2603D148B84}">
  <ds:schemaRefs>
    <ds:schemaRef ds:uri="http://schemas.microsoft.com/sharepoint/v3/contenttype/forms"/>
  </ds:schemaRefs>
</ds:datastoreItem>
</file>

<file path=customXml/itemProps5.xml><?xml version="1.0" encoding="utf-8"?>
<ds:datastoreItem xmlns:ds="http://schemas.openxmlformats.org/officeDocument/2006/customXml" ds:itemID="{85DEDC53-A93E-4ADB-9EC2-F69334C80BD2}">
  <ds:schemaRefs/>
</ds:datastoreItem>
</file>

<file path=customXml/itemProps6.xml><?xml version="1.0" encoding="utf-8"?>
<ds:datastoreItem xmlns:ds="http://schemas.openxmlformats.org/officeDocument/2006/customXml" ds:itemID="{5A180EA8-959C-42FC-9E6F-8D29CB065EBE}">
  <ds:schemaRefs>
    <ds:schemaRef ds:uri="http://schemas.microsoft.com/office/2006/metadata/properties"/>
    <ds:schemaRef ds:uri="http://schemas.microsoft.com/office/infopath/2007/PartnerControls"/>
  </ds:schemaRefs>
</ds:datastoreItem>
</file>

<file path=customXml/itemProps7.xml><?xml version="1.0" encoding="utf-8"?>
<ds:datastoreItem xmlns:ds="http://schemas.openxmlformats.org/officeDocument/2006/customXml" ds:itemID="{D3EA5527-7367-4268-9D83-5125C98D0ED2}">
  <ds:schemaRefs/>
</ds:datastoreItem>
</file>

<file path=customXml/itemProps8.xml><?xml version="1.0" encoding="utf-8"?>
<ds:datastoreItem xmlns:ds="http://schemas.openxmlformats.org/officeDocument/2006/customXml" ds:itemID="{05BFB7B4-D578-4596-954E-C2F973817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12478</Words>
  <Characters>71129</Characters>
  <Application>Microsoft Office Word</Application>
  <DocSecurity>0</DocSecurity>
  <PresentationFormat>Microsoft Word 14.0</PresentationFormat>
  <Lines>592</Lines>
  <Paragraphs>166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83441</CharactersWithSpaces>
  <SharedDoc>false</SharedDoc>
  <HLinks>
    <vt:vector size="342" baseType="variant">
      <vt:variant>
        <vt:i4>6225996</vt:i4>
      </vt:variant>
      <vt:variant>
        <vt:i4>165</vt:i4>
      </vt:variant>
      <vt:variant>
        <vt:i4>0</vt:i4>
      </vt:variant>
      <vt:variant>
        <vt:i4>5</vt:i4>
      </vt:variant>
      <vt:variant>
        <vt:lpwstr>https://www.poderjudicial.es/search/AN/openDocument/0217b6148cd22fb2a0a8778d75e36f0d/20251210</vt:lpwstr>
      </vt:variant>
      <vt:variant>
        <vt:lpwstr/>
      </vt:variant>
      <vt:variant>
        <vt:i4>5242906</vt:i4>
      </vt:variant>
      <vt:variant>
        <vt:i4>159</vt:i4>
      </vt:variant>
      <vt:variant>
        <vt:i4>0</vt:i4>
      </vt:variant>
      <vt:variant>
        <vt:i4>5</vt:i4>
      </vt:variant>
      <vt:variant>
        <vt:lpwstr>https://www.senado.es/web/actividadparlamentaria/iniciativas/detalleiniciativa/index.html?legis=15&amp;id1=622&amp;id2=000090</vt:lpwstr>
      </vt:variant>
      <vt:variant>
        <vt:lpwstr/>
      </vt:variant>
      <vt:variant>
        <vt:i4>4063263</vt:i4>
      </vt:variant>
      <vt:variant>
        <vt:i4>156</vt:i4>
      </vt:variant>
      <vt:variant>
        <vt:i4>0</vt:i4>
      </vt:variant>
      <vt:variant>
        <vt:i4>5</vt:i4>
      </vt:variant>
      <vt:variant>
        <vt:lpwstr>https://libertadinformacion.cc/wp-content/uploads/2026/01/Balance-2025_libertad-informacion-Espana.pdf</vt:lpwstr>
      </vt:variant>
      <vt:variant>
        <vt:lpwstr/>
      </vt:variant>
      <vt:variant>
        <vt:i4>2490485</vt:i4>
      </vt:variant>
      <vt:variant>
        <vt:i4>153</vt:i4>
      </vt:variant>
      <vt:variant>
        <vt:i4>0</vt:i4>
      </vt:variant>
      <vt:variant>
        <vt:i4>5</vt:i4>
      </vt:variant>
      <vt:variant>
        <vt:lpwstr>https://www.boe.es/buscar/act.php?id=BOE-A-2025-76</vt:lpwstr>
      </vt:variant>
      <vt:variant>
        <vt:lpwstr/>
      </vt:variant>
      <vt:variant>
        <vt:i4>1441861</vt:i4>
      </vt:variant>
      <vt:variant>
        <vt:i4>150</vt:i4>
      </vt:variant>
      <vt:variant>
        <vt:i4>0</vt:i4>
      </vt:variant>
      <vt:variant>
        <vt:i4>5</vt:i4>
      </vt:variant>
      <vt:variant>
        <vt:lpwstr>https://www.boe.es/buscar/act.php?id=BOE-A-2024-11776</vt:lpwstr>
      </vt:variant>
      <vt:variant>
        <vt:lpwstr/>
      </vt:variant>
      <vt:variant>
        <vt:i4>1900620</vt:i4>
      </vt:variant>
      <vt:variant>
        <vt:i4>147</vt:i4>
      </vt:variant>
      <vt:variant>
        <vt:i4>0</vt:i4>
      </vt:variant>
      <vt:variant>
        <vt:i4>5</vt:i4>
      </vt:variant>
      <vt:variant>
        <vt:lpwstr>https://www.boe.es/buscar/act.php?id=BOE-A-1985-12666</vt:lpwstr>
      </vt:variant>
      <vt:variant>
        <vt:lpwstr/>
      </vt:variant>
      <vt:variant>
        <vt:i4>1703990</vt:i4>
      </vt:variant>
      <vt:variant>
        <vt:i4>144</vt:i4>
      </vt:variant>
      <vt:variant>
        <vt:i4>0</vt:i4>
      </vt:variant>
      <vt:variant>
        <vt:i4>5</vt:i4>
      </vt:variant>
      <vt:variant>
        <vt:lpwstr>https://www.defensordelpueblo.es/wp-content/uploads/2026/03/Defensor-del-Pueblo_Informe-anual-2025.pdf</vt:lpwstr>
      </vt:variant>
      <vt:variant>
        <vt:lpwstr/>
      </vt:variant>
      <vt:variant>
        <vt:i4>1572918</vt:i4>
      </vt:variant>
      <vt:variant>
        <vt:i4>141</vt:i4>
      </vt:variant>
      <vt:variant>
        <vt:i4>0</vt:i4>
      </vt:variant>
      <vt:variant>
        <vt:i4>5</vt:i4>
      </vt:variant>
      <vt:variant>
        <vt:lpwstr>https://www.defensordelpueblo.es/wp-content/uploads/2025/03/Defensor-del-Pueblo_Informe-anual-2024.pdf</vt:lpwstr>
      </vt:variant>
      <vt:variant>
        <vt:lpwstr/>
      </vt:variant>
      <vt:variant>
        <vt:i4>3604582</vt:i4>
      </vt:variant>
      <vt:variant>
        <vt:i4>138</vt:i4>
      </vt:variant>
      <vt:variant>
        <vt:i4>0</vt:i4>
      </vt:variant>
      <vt:variant>
        <vt:i4>5</vt:i4>
      </vt:variant>
      <vt:variant>
        <vt:lpwstr>https://digital.gob.es/funcion-publica/incompatibilidad-y-conflicto-intereses/informe-cumplimiento-altos-cargos</vt:lpwstr>
      </vt:variant>
      <vt:variant>
        <vt:lpwstr/>
      </vt:variant>
      <vt:variant>
        <vt:i4>7077952</vt:i4>
      </vt:variant>
      <vt:variant>
        <vt:i4>135</vt:i4>
      </vt:variant>
      <vt:variant>
        <vt:i4>0</vt:i4>
      </vt:variant>
      <vt:variant>
        <vt:i4>5</vt:i4>
      </vt:variant>
      <vt:variant>
        <vt:lpwstr>https://www.oecd.org/en/publications/oecd-anti-bribery-convention-phase-4-follow-up-report-on-spain_4f4eb067-en.html</vt:lpwstr>
      </vt:variant>
      <vt:variant>
        <vt:lpwstr/>
      </vt:variant>
      <vt:variant>
        <vt:i4>4259947</vt:i4>
      </vt:variant>
      <vt:variant>
        <vt:i4>132</vt:i4>
      </vt:variant>
      <vt:variant>
        <vt:i4>0</vt:i4>
      </vt:variant>
      <vt:variant>
        <vt:i4>5</vt:i4>
      </vt:variant>
      <vt:variant>
        <vt:lpwstr>https://www.oecd.org/content/dam/oecd/en/publications/reports/2025/09/better-regulation-practices-across-the-european-union-2025_a3dfd5e6/6f007516-en.pdf</vt:lpwstr>
      </vt:variant>
      <vt:variant>
        <vt:lpwstr/>
      </vt:variant>
      <vt:variant>
        <vt:i4>4849671</vt:i4>
      </vt:variant>
      <vt:variant>
        <vt:i4>129</vt:i4>
      </vt:variant>
      <vt:variant>
        <vt:i4>0</vt:i4>
      </vt:variant>
      <vt:variant>
        <vt:i4>5</vt:i4>
      </vt:variant>
      <vt:variant>
        <vt:lpwstr>https://www.defensordelpueblo.es/wp-content/uploads/2026/04/Protocolo-reconocimiento-y-reparacion.pdf</vt:lpwstr>
      </vt:variant>
      <vt:variant>
        <vt:lpwstr/>
      </vt:variant>
      <vt:variant>
        <vt:i4>5832712</vt:i4>
      </vt:variant>
      <vt:variant>
        <vt:i4>126</vt:i4>
      </vt:variant>
      <vt:variant>
        <vt:i4>0</vt:i4>
      </vt:variant>
      <vt:variant>
        <vt:i4>5</vt:i4>
      </vt:variant>
      <vt:variant>
        <vt:lpwstr>https://www.mjusticia.gob.es/es/institucional/gabinete-comunicacion/noticias-ministerio/fiscales-2026</vt:lpwstr>
      </vt:variant>
      <vt:variant>
        <vt:lpwstr/>
      </vt:variant>
      <vt:variant>
        <vt:i4>7471204</vt:i4>
      </vt:variant>
      <vt:variant>
        <vt:i4>123</vt:i4>
      </vt:variant>
      <vt:variant>
        <vt:i4>0</vt:i4>
      </vt:variant>
      <vt:variant>
        <vt:i4>5</vt:i4>
      </vt:variant>
      <vt:variant>
        <vt:lpwstr>https://www.mjusticia.gob.es/es/ElMinisterio/GabineteComunicacion/Documents/RD-Creaci%c3%b3n plazas judiciales 2026.pdf</vt:lpwstr>
      </vt:variant>
      <vt:variant>
        <vt:lpwstr/>
      </vt:variant>
      <vt:variant>
        <vt:i4>7078005</vt:i4>
      </vt:variant>
      <vt:variant>
        <vt:i4>120</vt:i4>
      </vt:variant>
      <vt:variant>
        <vt:i4>0</vt:i4>
      </vt:variant>
      <vt:variant>
        <vt:i4>5</vt:i4>
      </vt:variant>
      <vt:variant>
        <vt:lpwstr>https://journalismresearch.org/wp-content/uploads/2025/12/SPAIN-media-Capture-Monitoring-Report-Overview-1.pdf</vt:lpwstr>
      </vt:variant>
      <vt:variant>
        <vt:lpwstr/>
      </vt:variant>
      <vt:variant>
        <vt:i4>4522010</vt:i4>
      </vt:variant>
      <vt:variant>
        <vt:i4>117</vt:i4>
      </vt:variant>
      <vt:variant>
        <vt:i4>0</vt:i4>
      </vt:variant>
      <vt:variant>
        <vt:i4>5</vt:i4>
      </vt:variant>
      <vt:variant>
        <vt:lpwstr>https://www.abogacia.es/actualidad/noticias/la-abogacia-pide-respeto-a-las-decisiones-judiciales-y-urge-a-confeccionar-un-nuevo-protocolo-de-conformidad-con-la-fiscalia/</vt:lpwstr>
      </vt:variant>
      <vt:variant>
        <vt:lpwstr/>
      </vt:variant>
      <vt:variant>
        <vt:i4>5242881</vt:i4>
      </vt:variant>
      <vt:variant>
        <vt:i4>114</vt:i4>
      </vt:variant>
      <vt:variant>
        <vt:i4>0</vt:i4>
      </vt:variant>
      <vt:variant>
        <vt:i4>5</vt:i4>
      </vt:variant>
      <vt:variant>
        <vt:lpwstr>https://www.mfrr.eu/monitor/</vt:lpwstr>
      </vt:variant>
      <vt:variant>
        <vt:lpwstr/>
      </vt:variant>
      <vt:variant>
        <vt:i4>1900563</vt:i4>
      </vt:variant>
      <vt:variant>
        <vt:i4>111</vt:i4>
      </vt:variant>
      <vt:variant>
        <vt:i4>0</vt:i4>
      </vt:variant>
      <vt:variant>
        <vt:i4>5</vt:i4>
      </vt:variant>
      <vt:variant>
        <vt:lpwstr>https://hudoc.echr.coe.int/eng</vt:lpwstr>
      </vt:variant>
      <vt:variant>
        <vt:lpwstr>{%22itemid%22:[%22001-142467%22]}</vt:lpwstr>
      </vt:variant>
      <vt:variant>
        <vt:i4>1572873</vt:i4>
      </vt:variant>
      <vt:variant>
        <vt:i4>108</vt:i4>
      </vt:variant>
      <vt:variant>
        <vt:i4>0</vt:i4>
      </vt:variant>
      <vt:variant>
        <vt:i4>5</vt:i4>
      </vt:variant>
      <vt:variant>
        <vt:lpwstr>https://commission.europa.eu/document/download/d1367f58-9eed-4ebd-8eb3-68646b7c7ddc_en?filename=2026_eu_justice_scoreboard.PDF</vt:lpwstr>
      </vt:variant>
      <vt:variant>
        <vt:lpwstr/>
      </vt:variant>
      <vt:variant>
        <vt:i4>6029380</vt:i4>
      </vt:variant>
      <vt:variant>
        <vt:i4>105</vt:i4>
      </vt:variant>
      <vt:variant>
        <vt:i4>0</vt:i4>
      </vt:variant>
      <vt:variant>
        <vt:i4>5</vt:i4>
      </vt:variant>
      <vt:variant>
        <vt:lpwstr>https://reforms-investments.ec.europa.eu/document/download/180b587b-489b-4339-97bb-1f6ce8ad4df2_en?filename=ES-COM_2026_209_1_EN_ACT_part1_v4.pdf</vt:lpwstr>
      </vt:variant>
      <vt:variant>
        <vt:lpwstr/>
      </vt:variant>
      <vt:variant>
        <vt:i4>1441832</vt:i4>
      </vt:variant>
      <vt:variant>
        <vt:i4>102</vt:i4>
      </vt:variant>
      <vt:variant>
        <vt:i4>0</vt:i4>
      </vt:variant>
      <vt:variant>
        <vt:i4>5</vt:i4>
      </vt:variant>
      <vt:variant>
        <vt:lpwstr>https://commission.europa.eu/document/download/3457bf3b-e321-49af-80fd-de0617ef5b28_en?filename=13_1_63945_coun_chap_spain_en.pdf</vt:lpwstr>
      </vt:variant>
      <vt:variant>
        <vt:lpwstr/>
      </vt:variant>
      <vt:variant>
        <vt:i4>4390982</vt:i4>
      </vt:variant>
      <vt:variant>
        <vt:i4>99</vt:i4>
      </vt:variant>
      <vt:variant>
        <vt:i4>0</vt:i4>
      </vt:variant>
      <vt:variant>
        <vt:i4>5</vt:i4>
      </vt:variant>
      <vt:variant>
        <vt:lpwstr>https://commission.europa.eu/document/download/2bd09a6f-ef56-494a-8303-e0de808ee981_en?filename=23_1_58063_coun_chap_spain_en_0.pdf</vt:lpwstr>
      </vt:variant>
      <vt:variant>
        <vt:lpwstr/>
      </vt:variant>
      <vt:variant>
        <vt:i4>4390930</vt:i4>
      </vt:variant>
      <vt:variant>
        <vt:i4>96</vt:i4>
      </vt:variant>
      <vt:variant>
        <vt:i4>0</vt:i4>
      </vt:variant>
      <vt:variant>
        <vt:i4>5</vt:i4>
      </vt:variant>
      <vt:variant>
        <vt:lpwstr>https://www.eppo.europa.eu/assets/annual-report-2025/pdfs/EPPO_Annual_Report_2025_en.pdf</vt:lpwstr>
      </vt:variant>
      <vt:variant>
        <vt:lpwstr/>
      </vt:variant>
      <vt:variant>
        <vt:i4>74</vt:i4>
      </vt:variant>
      <vt:variant>
        <vt:i4>93</vt:i4>
      </vt:variant>
      <vt:variant>
        <vt:i4>0</vt:i4>
      </vt:variant>
      <vt:variant>
        <vt:i4>5</vt:i4>
      </vt:variant>
      <vt:variant>
        <vt:lpwstr>https://www.boe.es/boe/dias/2025/08/16/pdfs/BOE-A-2025-16946.pdf</vt:lpwstr>
      </vt:variant>
      <vt:variant>
        <vt:lpwstr/>
      </vt:variant>
      <vt:variant>
        <vt:i4>3342451</vt:i4>
      </vt:variant>
      <vt:variant>
        <vt:i4>90</vt:i4>
      </vt:variant>
      <vt:variant>
        <vt:i4>0</vt:i4>
      </vt:variant>
      <vt:variant>
        <vt:i4>5</vt:i4>
      </vt:variant>
      <vt:variant>
        <vt:lpwstr>https://fom.coe.int/en/alerte?idsPays=11709492&amp;alertesActives=true&amp;dateDebut=1735704000000&amp;dateFin=1767153600000&amp;nbElementDebut=0</vt:lpwstr>
      </vt:variant>
      <vt:variant>
        <vt:lpwstr>search</vt:lpwstr>
      </vt:variant>
      <vt:variant>
        <vt:i4>1376343</vt:i4>
      </vt:variant>
      <vt:variant>
        <vt:i4>87</vt:i4>
      </vt:variant>
      <vt:variant>
        <vt:i4>0</vt:i4>
      </vt:variant>
      <vt:variant>
        <vt:i4>5</vt:i4>
      </vt:variant>
      <vt:variant>
        <vt:lpwstr>https://www.coe.int/en/web/venice-commission/-/cdl-ad-2025-038-e</vt:lpwstr>
      </vt:variant>
      <vt:variant>
        <vt:lpwstr/>
      </vt:variant>
      <vt:variant>
        <vt:i4>3932279</vt:i4>
      </vt:variant>
      <vt:variant>
        <vt:i4>84</vt:i4>
      </vt:variant>
      <vt:variant>
        <vt:i4>0</vt:i4>
      </vt:variant>
      <vt:variant>
        <vt:i4>5</vt:i4>
      </vt:variant>
      <vt:variant>
        <vt:lpwstr>https://rm.coe.int/grecorc5-2025-17-final-eng-add-to-2nd-compliance-report-spain-public/1680b6ce89</vt:lpwstr>
      </vt:variant>
      <vt:variant>
        <vt:lpwstr/>
      </vt:variant>
      <vt:variant>
        <vt:i4>983052</vt:i4>
      </vt:variant>
      <vt:variant>
        <vt:i4>81</vt:i4>
      </vt:variant>
      <vt:variant>
        <vt:i4>0</vt:i4>
      </vt:variant>
      <vt:variant>
        <vt:i4>5</vt:i4>
      </vt:variant>
      <vt:variant>
        <vt:lpwstr>https://rm.coe.int/fifth-evaluation-round-preventing-corruption-and-promoting-integrity-i/168098c691</vt:lpwstr>
      </vt:variant>
      <vt:variant>
        <vt:lpwstr/>
      </vt:variant>
      <vt:variant>
        <vt:i4>5308480</vt:i4>
      </vt:variant>
      <vt:variant>
        <vt:i4>78</vt:i4>
      </vt:variant>
      <vt:variant>
        <vt:i4>0</vt:i4>
      </vt:variant>
      <vt:variant>
        <vt:i4>5</vt:i4>
      </vt:variant>
      <vt:variant>
        <vt:lpwstr>https://rm.coe.int/4880152a92</vt:lpwstr>
      </vt:variant>
      <vt:variant>
        <vt:lpwstr/>
      </vt:variant>
      <vt:variant>
        <vt:i4>851992</vt:i4>
      </vt:variant>
      <vt:variant>
        <vt:i4>75</vt:i4>
      </vt:variant>
      <vt:variant>
        <vt:i4>0</vt:i4>
      </vt:variant>
      <vt:variant>
        <vt:i4>5</vt:i4>
      </vt:variant>
      <vt:variant>
        <vt:lpwstr>https://rm.coe.int/2025-annual-report/48802b1633</vt:lpwstr>
      </vt:variant>
      <vt:variant>
        <vt:lpwstr/>
      </vt:variant>
      <vt:variant>
        <vt:i4>786505</vt:i4>
      </vt:variant>
      <vt:variant>
        <vt:i4>72</vt:i4>
      </vt:variant>
      <vt:variant>
        <vt:i4>0</vt:i4>
      </vt:variant>
      <vt:variant>
        <vt:i4>5</vt:i4>
      </vt:variant>
      <vt:variant>
        <vt:lpwstr>https://search.coe.int/cm</vt:lpwstr>
      </vt:variant>
      <vt:variant>
        <vt:lpwstr>{%22CoEIdentifier%22:[%2209000016805afb78%22],%22sort%22:[%22CoEValidationDate%20Descending%22]}</vt:lpwstr>
      </vt:variant>
      <vt:variant>
        <vt:i4>7864379</vt:i4>
      </vt:variant>
      <vt:variant>
        <vt:i4>69</vt:i4>
      </vt:variant>
      <vt:variant>
        <vt:i4>0</vt:i4>
      </vt:variant>
      <vt:variant>
        <vt:i4>5</vt:i4>
      </vt:variant>
      <vt:variant>
        <vt:lpwstr>https://www.poderjudicial.es/cgpj/es/Poder-Judicial/Consejo-General-del-Poder-Judicial/En-Portada/La-Comision-Permanente-acuerda-remitir-al-Promotor-de-la-Accion-Disciplinaria-el-auto-dictado-el-pasado-sabado-por-el-magistrado-Juan-Carlos-Peinado</vt:lpwstr>
      </vt:variant>
      <vt:variant>
        <vt:lpwstr/>
      </vt:variant>
      <vt:variant>
        <vt:i4>131141</vt:i4>
      </vt:variant>
      <vt:variant>
        <vt:i4>66</vt:i4>
      </vt:variant>
      <vt:variant>
        <vt:i4>0</vt:i4>
      </vt:variant>
      <vt:variant>
        <vt:i4>5</vt:i4>
      </vt:variant>
      <vt:variant>
        <vt:lpwstr>https://www.boe.es/boe/dias/2026/06/15/pdfs/BOE-A-2026-12917.pdf</vt:lpwstr>
      </vt:variant>
      <vt:variant>
        <vt:lpwstr/>
      </vt:variant>
      <vt:variant>
        <vt:i4>196677</vt:i4>
      </vt:variant>
      <vt:variant>
        <vt:i4>63</vt:i4>
      </vt:variant>
      <vt:variant>
        <vt:i4>0</vt:i4>
      </vt:variant>
      <vt:variant>
        <vt:i4>5</vt:i4>
      </vt:variant>
      <vt:variant>
        <vt:lpwstr>https://www.boe.es/boe/dias/2026/06/15/pdfs/BOE-A-2026-12916.pdf</vt:lpwstr>
      </vt:variant>
      <vt:variant>
        <vt:lpwstr/>
      </vt:variant>
      <vt:variant>
        <vt:i4>69</vt:i4>
      </vt:variant>
      <vt:variant>
        <vt:i4>60</vt:i4>
      </vt:variant>
      <vt:variant>
        <vt:i4>0</vt:i4>
      </vt:variant>
      <vt:variant>
        <vt:i4>5</vt:i4>
      </vt:variant>
      <vt:variant>
        <vt:lpwstr>https://www.boe.es/boe/dias/2026/06/15/pdfs/BOE-A-2026-12915.pdf</vt:lpwstr>
      </vt:variant>
      <vt:variant>
        <vt:lpwstr/>
      </vt:variant>
      <vt:variant>
        <vt:i4>65605</vt:i4>
      </vt:variant>
      <vt:variant>
        <vt:i4>57</vt:i4>
      </vt:variant>
      <vt:variant>
        <vt:i4>0</vt:i4>
      </vt:variant>
      <vt:variant>
        <vt:i4>5</vt:i4>
      </vt:variant>
      <vt:variant>
        <vt:lpwstr>https://www.boe.es/boe/dias/2026/06/15/pdfs/BOE-A-2026-12914.pdf</vt:lpwstr>
      </vt:variant>
      <vt:variant>
        <vt:lpwstr/>
      </vt:variant>
      <vt:variant>
        <vt:i4>393285</vt:i4>
      </vt:variant>
      <vt:variant>
        <vt:i4>54</vt:i4>
      </vt:variant>
      <vt:variant>
        <vt:i4>0</vt:i4>
      </vt:variant>
      <vt:variant>
        <vt:i4>5</vt:i4>
      </vt:variant>
      <vt:variant>
        <vt:lpwstr>https://www.boe.es/boe/dias/2026/06/15/pdfs/BOE-A-2026-12913.pdf</vt:lpwstr>
      </vt:variant>
      <vt:variant>
        <vt:lpwstr/>
      </vt:variant>
      <vt:variant>
        <vt:i4>852037</vt:i4>
      </vt:variant>
      <vt:variant>
        <vt:i4>51</vt:i4>
      </vt:variant>
      <vt:variant>
        <vt:i4>0</vt:i4>
      </vt:variant>
      <vt:variant>
        <vt:i4>5</vt:i4>
      </vt:variant>
      <vt:variant>
        <vt:lpwstr>https://www.boe.es/boe/dias/2026/06/15/pdfs/BOE-A-2026-12918.pdf</vt:lpwstr>
      </vt:variant>
      <vt:variant>
        <vt:lpwstr/>
      </vt:variant>
      <vt:variant>
        <vt:i4>6422583</vt:i4>
      </vt:variant>
      <vt:variant>
        <vt:i4>48</vt:i4>
      </vt:variant>
      <vt:variant>
        <vt:i4>0</vt:i4>
      </vt:variant>
      <vt:variant>
        <vt:i4>5</vt:i4>
      </vt:variant>
      <vt:variant>
        <vt:lpwstr>https://www.poderjudicial.es/cgpj/es/Poder-Judicial/En-Portada/Declaracion-institucional-de-la-Comision-Permanente-</vt:lpwstr>
      </vt:variant>
      <vt:variant>
        <vt:lpwstr/>
      </vt:variant>
      <vt:variant>
        <vt:i4>2097264</vt:i4>
      </vt:variant>
      <vt:variant>
        <vt:i4>45</vt:i4>
      </vt:variant>
      <vt:variant>
        <vt:i4>0</vt:i4>
      </vt:variant>
      <vt:variant>
        <vt:i4>5</vt:i4>
      </vt:variant>
      <vt:variant>
        <vt:lpwstr>https://www.poderjudicial.es/cgpj/es/Poder-Judicial/Consejo-General-del-Poder-Judicial/En-Portada/El-CGPJ-acuerda-la-convocatoria-de-las-pruebas-de-acceso-a-las-Carreras-Judicial-y-Fiscal--en-la-que-se-ofertaran-575-plazas-</vt:lpwstr>
      </vt:variant>
      <vt:variant>
        <vt:lpwstr/>
      </vt:variant>
      <vt:variant>
        <vt:i4>7405689</vt:i4>
      </vt:variant>
      <vt:variant>
        <vt:i4>42</vt:i4>
      </vt:variant>
      <vt:variant>
        <vt:i4>0</vt:i4>
      </vt:variant>
      <vt:variant>
        <vt:i4>5</vt:i4>
      </vt:variant>
      <vt:variant>
        <vt:lpwstr>https://www.poderjudicial.es/cgpj/es/Poder-Judicial/En-Portada/El-CGPJ-nombra-a-dos-magistrados-de-la-Sala-Quinta-del-Tribunal-Supremo-y-a-los-presidentes-de-los-TSJ-del-Pais-Vasco-y-Canarias</vt:lpwstr>
      </vt:variant>
      <vt:variant>
        <vt:lpwstr/>
      </vt:variant>
      <vt:variant>
        <vt:i4>5111814</vt:i4>
      </vt:variant>
      <vt:variant>
        <vt:i4>39</vt:i4>
      </vt:variant>
      <vt:variant>
        <vt:i4>0</vt:i4>
      </vt:variant>
      <vt:variant>
        <vt:i4>5</vt:i4>
      </vt:variant>
      <vt:variant>
        <vt:lpwstr>https://www.poderjudicial.es/cgpj/es/Poder-Judicial/Consejo-General-del-Poder-Judicial/En-Portada/El-CGPJ-acuerda-por-unanimidad-tomar-conocimiento-del-archivo-de-cuatro-diligencias-informativas-incoadas-al-magistrado-Juan-Carlos-Peinado</vt:lpwstr>
      </vt:variant>
      <vt:variant>
        <vt:lpwstr/>
      </vt:variant>
      <vt:variant>
        <vt:i4>2097217</vt:i4>
      </vt:variant>
      <vt:variant>
        <vt:i4>36</vt:i4>
      </vt:variant>
      <vt:variant>
        <vt:i4>0</vt:i4>
      </vt:variant>
      <vt:variant>
        <vt:i4>5</vt:i4>
      </vt:variant>
      <vt:variant>
        <vt:lpwstr>https://www.boe.es/diario_boe/txt.php?id=BOE-A-2026-2205</vt:lpwstr>
      </vt:variant>
      <vt:variant>
        <vt:lpwstr/>
      </vt:variant>
      <vt:variant>
        <vt:i4>1966154</vt:i4>
      </vt:variant>
      <vt:variant>
        <vt:i4>33</vt:i4>
      </vt:variant>
      <vt:variant>
        <vt:i4>0</vt:i4>
      </vt:variant>
      <vt:variant>
        <vt:i4>5</vt:i4>
      </vt:variant>
      <vt:variant>
        <vt:lpwstr>https://www.poderjudicial.es/cgpj/es/Poder-Judicial/Consejo-General-del-Poder-Judicial/Actividad-del-CGPJ/Estudios/Plan-Estrategico-para-el-decenio-2026-2035-de-recursos-humanos-en-la-Carrera-Judicial--Acuerdo-CP-CGPJ-16-12-2025-</vt:lpwstr>
      </vt:variant>
      <vt:variant>
        <vt:lpwstr/>
      </vt:variant>
      <vt:variant>
        <vt:i4>2228290</vt:i4>
      </vt:variant>
      <vt:variant>
        <vt:i4>30</vt:i4>
      </vt:variant>
      <vt:variant>
        <vt:i4>0</vt:i4>
      </vt:variant>
      <vt:variant>
        <vt:i4>5</vt:i4>
      </vt:variant>
      <vt:variant>
        <vt:lpwstr>https://www.poderjudicial.es/portal/site/cgpj/menuitem.65d2c4456b6ddb628e635fc1dc432ea0/?vgnextoid=1231da9a403ca910VgnVCM1000004648ac0aRCRD&amp;vgnextchannel=b59fd098b243b510VgnVCM1000006f48ac0aRCRD&amp;vgnextfmt=default&amp;vgnextlocale=es_ES</vt:lpwstr>
      </vt:variant>
      <vt:variant>
        <vt:lpwstr/>
      </vt:variant>
      <vt:variant>
        <vt:i4>7012379</vt:i4>
      </vt:variant>
      <vt:variant>
        <vt:i4>27</vt:i4>
      </vt:variant>
      <vt:variant>
        <vt:i4>0</vt:i4>
      </vt:variant>
      <vt:variant>
        <vt:i4>5</vt:i4>
      </vt:variant>
      <vt:variant>
        <vt:lpwstr>https://www.poderjudicial.es/portal/site/cgpj/menuitem.65d2c4456b6ddb628e635fc1dc432ea0/?vgnextoid=fbac0cb702919910VgnVCM1000004648ac0aRCRD&amp;vgnextchannel=ea1732cd1ddaa210VgnVCM100000cb34e20aRCRD&amp;vgnextfmt=default&amp;vgnextlocale=en&amp;lang_choosen=en</vt:lpwstr>
      </vt:variant>
      <vt:variant>
        <vt:lpwstr/>
      </vt:variant>
      <vt:variant>
        <vt:i4>786457</vt:i4>
      </vt:variant>
      <vt:variant>
        <vt:i4>24</vt:i4>
      </vt:variant>
      <vt:variant>
        <vt:i4>0</vt:i4>
      </vt:variant>
      <vt:variant>
        <vt:i4>5</vt:i4>
      </vt:variant>
      <vt:variant>
        <vt:lpwstr>https://www.poderjudicial.es/cgpj/es/Poder-Judicial/Consejo-General-del-Poder-Judicial/Actividad-del-CGPJ/Memorias/Memoria-anual-2025--correspondiente-al-ejercicio-2024-</vt:lpwstr>
      </vt:variant>
      <vt:variant>
        <vt:lpwstr/>
      </vt:variant>
      <vt:variant>
        <vt:i4>1835080</vt:i4>
      </vt:variant>
      <vt:variant>
        <vt:i4>21</vt:i4>
      </vt:variant>
      <vt:variant>
        <vt:i4>0</vt:i4>
      </vt:variant>
      <vt:variant>
        <vt:i4>5</vt:i4>
      </vt:variant>
      <vt:variant>
        <vt:lpwstr>https://www.poderjudicial.es/cgpj/es/Poder-Judicial/Consejo-General-del-Poder-Judicial/Actividad-del-CGPJ/Estudios/Plan-Estrategico-para-el-decenio-2023-2032-de-recursos-humanos-en-la-Carrera-Judicial--Acuerdo-CP-CGPJ-11-07-2024-</vt:lpwstr>
      </vt:variant>
      <vt:variant>
        <vt:lpwstr/>
      </vt:variant>
      <vt:variant>
        <vt:i4>6750231</vt:i4>
      </vt:variant>
      <vt:variant>
        <vt:i4>18</vt:i4>
      </vt:variant>
      <vt:variant>
        <vt:i4>0</vt:i4>
      </vt:variant>
      <vt:variant>
        <vt:i4>5</vt:i4>
      </vt:variant>
      <vt:variant>
        <vt:lpwstr>https://www.poderjudicial.es/portal/site/cgpj/menuitem.65d2c4456b6ddb628e635fc1dc432ea0/?vgnextoid=3c2f6292b44cf810VgnVCM1000004648ac0aRCRD&amp;vgnextchannel=be4105063580d210VgnVCM100000cb34e20aRCRD&amp;vgnextfmt=default&amp;vgnextlocale=es&amp;lang_choosen=es</vt:lpwstr>
      </vt:variant>
      <vt:variant>
        <vt:lpwstr/>
      </vt:variant>
      <vt:variant>
        <vt:i4>6160456</vt:i4>
      </vt:variant>
      <vt:variant>
        <vt:i4>15</vt:i4>
      </vt:variant>
      <vt:variant>
        <vt:i4>0</vt:i4>
      </vt:variant>
      <vt:variant>
        <vt:i4>5</vt:i4>
      </vt:variant>
      <vt:variant>
        <vt:lpwstr>https://www.congreso.es/es/busqueda-de-iniciativas?p_p_id=iniciativas&amp;p_p_lifecycle=0&amp;p_p_state=normal&amp;p_p_mode=view&amp;_iniciativas_mode=mostrarDetalle&amp;_iniciativas_legislatura=XV&amp;_iniciativas_id=121/000074</vt:lpwstr>
      </vt:variant>
      <vt:variant>
        <vt:lpwstr/>
      </vt:variant>
      <vt:variant>
        <vt:i4>5308494</vt:i4>
      </vt:variant>
      <vt:variant>
        <vt:i4>12</vt:i4>
      </vt:variant>
      <vt:variant>
        <vt:i4>0</vt:i4>
      </vt:variant>
      <vt:variant>
        <vt:i4>5</vt:i4>
      </vt:variant>
      <vt:variant>
        <vt:lpwstr>https://www.congreso.es/es/busqueda-de-iniciativas?p_p_id=iniciativas&amp;p_p_lifecycle=0&amp;p_p_state=normal&amp;p_p_mode=view&amp;_iniciativas_mode=mostrarDetalle&amp;_iniciativas_legislatura=XV&amp;_iniciativas_id=122/000229</vt:lpwstr>
      </vt:variant>
      <vt:variant>
        <vt:lpwstr/>
      </vt:variant>
      <vt:variant>
        <vt:i4>5439562</vt:i4>
      </vt:variant>
      <vt:variant>
        <vt:i4>9</vt:i4>
      </vt:variant>
      <vt:variant>
        <vt:i4>0</vt:i4>
      </vt:variant>
      <vt:variant>
        <vt:i4>5</vt:i4>
      </vt:variant>
      <vt:variant>
        <vt:lpwstr>https://www.congreso.es/es/busqueda-de-iniciativas?p_p_id=iniciativas&amp;p_p_lifecycle=0&amp;p_p_state=normal&amp;p_p_mode=view&amp;_iniciativas_mode=mostrarDetalle&amp;_iniciativas_legislatura=XV&amp;_iniciativas_id=121/000059</vt:lpwstr>
      </vt:variant>
      <vt:variant>
        <vt:lpwstr/>
      </vt:variant>
      <vt:variant>
        <vt:i4>5898319</vt:i4>
      </vt:variant>
      <vt:variant>
        <vt:i4>6</vt:i4>
      </vt:variant>
      <vt:variant>
        <vt:i4>0</vt:i4>
      </vt:variant>
      <vt:variant>
        <vt:i4>5</vt:i4>
      </vt:variant>
      <vt:variant>
        <vt:lpwstr>https://www.congreso.es/es/busqueda-de-iniciativas?p_p_id=iniciativas&amp;p_p_lifecycle=0&amp;p_p_state=normal&amp;p_p_mode=view&amp;_iniciativas_mode=mostrarDetalle&amp;_iniciativas_legislatura=XV&amp;_iniciativas_id=122/000131</vt:lpwstr>
      </vt:variant>
      <vt:variant>
        <vt:lpwstr/>
      </vt:variant>
      <vt:variant>
        <vt:i4>1114182</vt:i4>
      </vt:variant>
      <vt:variant>
        <vt:i4>3</vt:i4>
      </vt:variant>
      <vt:variant>
        <vt:i4>0</vt:i4>
      </vt:variant>
      <vt:variant>
        <vt:i4>5</vt:i4>
      </vt:variant>
      <vt:variant>
        <vt:lpwstr>https://www.liberties.eu/f/wtaqoq</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3</vt:i4>
      </vt:variant>
      <vt:variant>
        <vt:i4>0</vt:i4>
      </vt:variant>
      <vt:variant>
        <vt:i4>5</vt:i4>
      </vt:variant>
      <vt:variant>
        <vt:lpwstr>https://www.coe.int/en/web/execution/the-supervision-process</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2026-07-15T18:40:00Z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0x010100CD92FCBF67B53A4EB1060DF04C43C986</vt:lpwstr>
  </property>
  <property fmtid="{D5CDD505-2E9C-101B-9397-08002B2CF9AE}" pid="3" name="Level of sensitivity">
    <vt:lpwstr>Standard treatment</vt:lpwstr>
  </property>
  <property fmtid="{D5CDD505-2E9C-101B-9397-08002B2CF9AE}" pid="4" name="DocStatus">
    <vt:lpwstr>Green</vt:lpwstr>
  </property>
  <property fmtid="{D5CDD505-2E9C-101B-9397-08002B2CF9AE}" pid="5" name="Last edited using">
    <vt:lpwstr>LW 9.2, Build 20250828</vt:lpwstr>
  </property>
  <property fmtid="{D5CDD505-2E9C-101B-9397-08002B2CF9AE}" pid="6" name="MSIP_Label_6bd9ddd1-4d20-43f6-abfa-fc3c07406f94_Enabled">
    <vt:lpwstr>true</vt:lpwstr>
  </property>
  <property fmtid="{D5CDD505-2E9C-101B-9397-08002B2CF9AE}" pid="7" name="MSIP_Label_6bd9ddd1-4d20-43f6-abfa-fc3c07406f94_SetDate">
    <vt:lpwstr>2026-07-15T10:22:00Z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6d86e19d-1bc5-4cd3-aad1-eac29b9e02d3</vt:lpwstr>
  </property>
  <property fmtid="{D5CDD505-2E9C-101B-9397-08002B2CF9AE}" pid="12" name="MSIP_Label_6bd9ddd1-4d20-43f6-abfa-fc3c07406f94_ContentBits">
    <vt:lpwstr>0</vt:lpwstr>
  </property>
  <property fmtid="{D5CDD505-2E9C-101B-9397-08002B2CF9AE}" pid="13" name="MSIP_Label_6bd9ddd1-4d20-43f6-abfa-fc3c07406f94_Tag">
    <vt:lpwstr>10, 3, 0, 1</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CP-025</vt:lpwstr>
  </property>
</Properties>
</file>